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4.png" ContentType="image/png"/>
  <Override PartName="/word/media/rId38.png" ContentType="image/png"/>
  <Override PartName="/word/media/rId41.png" ContentType="image/png"/>
  <Override PartName="/word/media/rId45.png" ContentType="image/png"/>
  <Override PartName="/word/media/rId49.png" ContentType="image/png"/>
  <Override PartName="/word/media/rId53.png" ContentType="image/png"/>
  <Override PartName="/word/media/rId57.png" ContentType="image/png"/>
  <Override PartName="/word/media/rId67.png" ContentType="image/png"/>
  <Override PartName="/word/media/rId71.png" ContentType="image/png"/>
  <Override PartName="/word/media/rId60.png" ContentType="image/png"/>
  <Override PartName="/word/media/rId75.png" ContentType="image/png"/>
  <Override PartName="/word/media/rId29.png" ContentType="image/png"/>
  <Override PartName="/word/media/rId33.png" ContentType="image/png"/>
  <Override PartName="/word/media/rId81.png" ContentType="image/png"/>
  <Override PartName="/word/media/rId99.png" ContentType="image/png"/>
  <Override PartName="/word/media/rId10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MMVFree</w:t>
      </w:r>
      <w:r>
        <w:t xml:space="preserve"> </w:t>
      </w:r>
      <w:r>
        <w:t xml:space="preserve">-</w:t>
      </w:r>
      <w:r>
        <w:t xml:space="preserve"> </w:t>
      </w:r>
      <w:r>
        <w:t xml:space="preserve">User</w:t>
      </w:r>
      <w:r>
        <w:t xml:space="preserve"> </w:t>
      </w:r>
      <w:r>
        <w:t xml:space="preserve">Guide</w:t>
      </w:r>
    </w:p>
    <w:p>
      <w:pPr>
        <w:pStyle w:val="Author"/>
      </w:pPr>
      <w:r>
        <w:t xml:space="preserve">Venelin</w:t>
      </w:r>
      <w:r>
        <w:t xml:space="preserve"> </w:t>
      </w:r>
      <w:r>
        <w:t xml:space="preserve">Mitov,</w:t>
      </w:r>
      <w:r>
        <w:t xml:space="preserve"> </w:t>
      </w:r>
      <w:r>
        <w:t xml:space="preserve">Philip</w:t>
      </w:r>
      <w:r>
        <w:t xml:space="preserve"> </w:t>
      </w:r>
      <w:r>
        <w:t xml:space="preserve">Lowe,</w:t>
      </w:r>
      <w:r>
        <w:t xml:space="preserve"> </w:t>
      </w:r>
      <w:r>
        <w:t xml:space="preserve">Peter</w:t>
      </w:r>
      <w:r>
        <w:t xml:space="preserve"> </w:t>
      </w:r>
      <w:r>
        <w:t xml:space="preserve">Webborn,</w:t>
      </w:r>
      <w:r>
        <w:t xml:space="preserve"> </w:t>
      </w:r>
      <w:r>
        <w:t xml:space="preserve">Sam</w:t>
      </w:r>
      <w:r>
        <w:t xml:space="preserve"> </w:t>
      </w:r>
      <w:r>
        <w:t xml:space="preserve">Jones,</w:t>
      </w:r>
      <w:r>
        <w:t xml:space="preserve"> </w:t>
      </w:r>
      <w:r>
        <w:t xml:space="preserve">Nathalie</w:t>
      </w:r>
      <w:r>
        <w:t xml:space="preserve"> </w:t>
      </w:r>
      <w:r>
        <w:t xml:space="preserve">Gobeau,</w:t>
      </w:r>
      <w:r>
        <w:t xml:space="preserve"> </w:t>
      </w:r>
      <w:r>
        <w:t xml:space="preserve">Jeremy</w:t>
      </w:r>
      <w:r>
        <w:t xml:space="preserve"> </w:t>
      </w:r>
      <w:r>
        <w:t xml:space="preserve">Burrows,</w:t>
      </w:r>
      <w:r>
        <w:t xml:space="preserve"> </w:t>
      </w:r>
      <w:r>
        <w:t xml:space="preserve">Steven</w:t>
      </w:r>
      <w:r>
        <w:t xml:space="preserve"> </w:t>
      </w:r>
      <w:r>
        <w:t xml:space="preserve">Brand</w:t>
      </w:r>
    </w:p>
    <w:p>
      <w:pPr>
        <w:pStyle w:val="Date"/>
      </w:pPr>
      <w:r>
        <w:t xml:space="preserve">Version</w:t>
      </w:r>
      <w:r>
        <w:t xml:space="preserve"> </w:t>
      </w:r>
      <w:r>
        <w:t xml:space="preserve">1.12.7,</w:t>
      </w:r>
      <w:r>
        <w:t xml:space="preserve"> </w:t>
      </w:r>
      <w:r>
        <w:t xml:space="preserve">November</w:t>
      </w:r>
      <w:r>
        <w:t xml:space="preserve"> </w:t>
      </w:r>
      <w:r>
        <w:t xml:space="preserve">2026</w:t>
      </w:r>
    </w:p>
    <w:p>
      <w:pPr>
        <w:pStyle w:val="FirstParagraph"/>
      </w:pPr>
      <w:r>
        <w:t xml:space="preserve">© 2026 Medicines for Malaria Venture. All rights reserved.</w:t>
      </w:r>
    </w:p>
    <w:p>
      <w:pPr>
        <w:pStyle w:val="BodyText"/>
      </w:pPr>
      <w:r>
        <w:rPr>
          <w:iCs/>
          <w:i/>
        </w:rPr>
        <w:t xml:space="preserve">Suggested citation:</w:t>
      </w:r>
      <w:r>
        <w:t xml:space="preserve"> </w:t>
      </w:r>
      <w:r>
        <w:t xml:space="preserve">Venelin Mitov, Philip Lowe, Peter Webborn, Sam Jones, Nathalie Gobeau, Jeremy Burrows, Steven Brand (2026). MMVFree - User Guide, version 1.12.7. Medicines for Malaria Venture.</w:t>
      </w:r>
      <w:r>
        <w:t xml:space="preserve"> </w:t>
      </w:r>
      <w:hyperlink r:id="rId20">
        <w:r>
          <w:rPr>
            <w:rStyle w:val="Hyperlink"/>
          </w:rPr>
          <w:t xml:space="preserve">https://mmvfree.org</w:t>
        </w:r>
      </w:hyperlink>
    </w:p>
    <w:bookmarkStart w:id="28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t xml:space="preserve">MMVFree is a web tool for multi-compound dose prediction of malaria drug candidates,</w:t>
      </w:r>
      <w:r>
        <w:t xml:space="preserve"> </w:t>
      </w:r>
      <w:r>
        <w:t xml:space="preserve">formulating dose criteria based on</w:t>
      </w:r>
      <w:r>
        <w:t xml:space="preserve"> </w:t>
      </w:r>
      <w:r>
        <w:rPr>
          <w:bCs/>
          <w:b/>
        </w:rPr>
        <w:t xml:space="preserve">free (unbound) drug concentrations</w:t>
      </w:r>
      <w:r>
        <w:t xml:space="preserve">. For each</w:t>
      </w:r>
      <w:r>
        <w:t xml:space="preserve"> </w:t>
      </w:r>
      <w:r>
        <w:t xml:space="preserve">compound, it predicts the dose required for the unbound plasma concentration to stay above the</w:t>
      </w:r>
      <w:r>
        <w:t xml:space="preserve"> </w:t>
      </w:r>
      <w:r>
        <w:t xml:space="preserve">unbound minimum inhibitory concentration (MIC</w:t>
      </w:r>
      <w:r>
        <w:rPr>
          <w:vertAlign w:val="subscript"/>
        </w:rPr>
        <w:t xml:space="preserve">u</w:t>
      </w:r>
      <w:r>
        <w:t xml:space="preserve"> </w:t>
      </w:r>
      <w:r>
        <w:t xml:space="preserve">- the unbound concentration below which the</w:t>
      </w:r>
      <w:r>
        <w:t xml:space="preserve"> </w:t>
      </w:r>
      <w:r>
        <w:t xml:space="preserve">parasite population is no longer fully suppressed) for a specified duration, for both an oral and</w:t>
      </w:r>
      <w:r>
        <w:t xml:space="preserve"> </w:t>
      </w:r>
      <w:r>
        <w:t xml:space="preserve">a long-acting injectable (LAI) route of administration. Predictions are derived directly from</w:t>
      </w:r>
      <w:r>
        <w:t xml:space="preserve"> </w:t>
      </w:r>
      <w:r>
        <w:t xml:space="preserve">in vitro intrinsic clearance and potency data together with a volume of distribution (Vss, used</w:t>
      </w:r>
      <w:r>
        <w:t xml:space="preserve"> </w:t>
      </w:r>
      <w:r>
        <w:t xml:space="preserve">throughout in its unbound form, Vss</w:t>
      </w:r>
      <w:r>
        <w:rPr>
          <w:vertAlign w:val="subscript"/>
        </w:rPr>
        <w:t xml:space="preserve">u</w:t>
      </w:r>
      <w:r>
        <w:t xml:space="preserve">) estimate - no</w:t>
      </w:r>
      <w:r>
        <w:t xml:space="preserve"> </w:t>
      </w:r>
      <w:r>
        <w:t xml:space="preserve">in vivo human data and no PK/PD concentration-time simulation are required. This makes MMVFree</w:t>
      </w:r>
      <w:r>
        <w:t xml:space="preserve"> </w:t>
      </w:r>
      <w:r>
        <w:t xml:space="preserve">faster and lighter-weight than the sibling app MMVSola, at the cost of some of the modelling</w:t>
      </w:r>
      <w:r>
        <w:t xml:space="preserve"> </w:t>
      </w:r>
      <w:r>
        <w:t xml:space="preserve">detail MMVSola provides (e.g. MMVSola simulates full PK/PD profiles and supports multi-species</w:t>
      </w:r>
      <w:r>
        <w:t xml:space="preserve"> </w:t>
      </w:r>
      <w:r>
        <w:t xml:space="preserve">IVIVE scaling from hepatocyte data; MMVFree works from a microsomal intrinsic clearance</w:t>
      </w:r>
      <w:r>
        <w:t xml:space="preserve"> </w:t>
      </w:r>
      <w:r>
        <w:t xml:space="preserve">measurement and a well-stirred liver model based hepatic extraction correction - see Chapter</w:t>
      </w:r>
      <w:r>
        <w:t xml:space="preserve"> </w:t>
      </w:r>
      <w:r>
        <w:t xml:space="preserve">2</w:t>
      </w:r>
      <w:r>
        <w:t xml:space="preserve">).</w:t>
      </w:r>
    </w:p>
    <w:bookmarkStart w:id="27" w:name="input-unbound-parameters-dose"/>
    <w:p>
      <w:pPr>
        <w:pStyle w:val="Heading2"/>
      </w:pPr>
      <w:r>
        <w:t xml:space="preserve">Input → Unbound Parameters &amp; Dose</w:t>
      </w:r>
    </w:p>
    <w:p>
      <w:pPr>
        <w:pStyle w:val="FirstParagraph"/>
      </w:pPr>
      <w:r>
        <w:t xml:space="preserve">MMVFree’s workflow is organized around two tabs:</w:t>
      </w:r>
    </w:p>
    <w:p>
      <w:pPr>
        <w:pStyle w:val="BodyText"/>
      </w:pPr>
      <w:r>
        <w:rPr>
          <w:bCs/>
          <w:b/>
        </w:rPr>
        <w:t xml:space="preserve">File Input.</w:t>
      </w:r>
      <w:r>
        <w:t xml:space="preserve"> </w:t>
      </w:r>
      <w:r>
        <w:t xml:space="preserve">The user uploads a Science Cloud database extract or a previously generated</w:t>
      </w:r>
      <w:r>
        <w:t xml:space="preserve"> </w:t>
      </w:r>
      <w:r>
        <w:t xml:space="preserve">MMVFree report (Excel format) containing, for one or more compounds: molecular weight, blood</w:t>
      </w:r>
      <w:r>
        <w:t xml:space="preserve"> </w:t>
      </w:r>
      <w:r>
        <w:t xml:space="preserve">plasma ratio, human plasma/Albumax/microsomal % binding, SMILES code, in silico and/or in vivo</w:t>
      </w:r>
      <w:r>
        <w:t xml:space="preserve"> </w:t>
      </w:r>
      <w:r>
        <w:t xml:space="preserve">(rat) Vss, in vitro TCGLS 3D7 72h IC50, in vitro parasite reduction ratio (PRR) and PRR lag time,</w:t>
      </w:r>
      <w:r>
        <w:t xml:space="preserve"> </w:t>
      </w:r>
      <w:r>
        <w:t xml:space="preserve">and microsomal intrinsic clearance. When several measurements exist for the same parameter</w:t>
      </w:r>
      <w:r>
        <w:t xml:space="preserve"> </w:t>
      </w:r>
      <w:r>
        <w:t xml:space="preserve">(e.g. assay replicates), they are averaged - the user can review and exclude individual records</w:t>
      </w:r>
      <w:r>
        <w:t xml:space="preserve"> </w:t>
      </w:r>
      <w:r>
        <w:t xml:space="preserve">from this averaging, and can overwrite any value manually. Missing values fall back to documented</w:t>
      </w:r>
      <w:r>
        <w:t xml:space="preserve"> </w:t>
      </w:r>
      <w:r>
        <w:t xml:space="preserve">defaults where possible. A Science Cloud upload isn’t required either - every one of these</w:t>
      </w:r>
      <w:r>
        <w:t xml:space="preserve"> </w:t>
      </w:r>
      <w:r>
        <w:t xml:space="preserve">parameters can instead be typed directly into the Input Parameters table for a compound with no</w:t>
      </w:r>
      <w:r>
        <w:t xml:space="preserve"> </w:t>
      </w:r>
      <w:r>
        <w:t xml:space="preserve">uploaded data at all (Chapter</w:t>
      </w:r>
      <w:r>
        <w:t xml:space="preserve"> </w:t>
      </w:r>
      <w:r>
        <w:t xml:space="preserve">1</w:t>
      </w:r>
      <w:r>
        <w:t xml:space="preserve">, Step 2).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userguide_files/images/intro_01_file_input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Unbound Parameters &amp; Dose.</w:t>
      </w:r>
      <w:r>
        <w:t xml:space="preserve"> </w:t>
      </w:r>
      <w:r>
        <w:t xml:space="preserve">This tab is populated automatically once compound data is</w:t>
      </w:r>
      <w:r>
        <w:t xml:space="preserve"> </w:t>
      </w:r>
      <w:r>
        <w:t xml:space="preserve">available, and lets the user set the oral (target duration, number of doses, dosing interval) and</w:t>
      </w:r>
      <w:r>
        <w:t xml:space="preserve"> </w:t>
      </w:r>
      <w:r>
        <w:t xml:space="preserve">LAI (90- or 180-day coverage) prediction settings from the sidebar. It shows, for every compound</w:t>
      </w:r>
      <w:r>
        <w:t xml:space="preserve"> </w:t>
      </w:r>
      <w:r>
        <w:t xml:space="preserve">and for both an in silico and an in vivo Vss estimate, the predicted unbound PK parameters</w:t>
      </w:r>
      <w:r>
        <w:t xml:space="preserve"> </w:t>
      </w:r>
      <w:r>
        <w:t xml:space="preserve">(Chapter</w:t>
      </w:r>
      <w:r>
        <w:t xml:space="preserve"> </w:t>
      </w:r>
      <w:r>
        <w:t xml:space="preserve">2</w:t>
      </w:r>
      <w:r>
        <w:t xml:space="preserve">) and predicted doses (Chapter</w:t>
      </w:r>
      <w:r>
        <w:t xml:space="preserve"> </w:t>
      </w:r>
      <w:r>
        <w:t xml:space="preserve">3</w:t>
      </w:r>
      <w:r>
        <w:t xml:space="preserve">), split into three sections - unbound parameters, oral dose, and LAI dose</w:t>
      </w:r>
      <w:r>
        <w:t xml:space="preserve"> </w:t>
      </w:r>
      <w:r>
        <w:t xml:space="preserve">- each dose section pairing a compact table with a dose-landscape plot. Each dose table row also</w:t>
      </w:r>
      <w:r>
        <w:t xml:space="preserve"> </w:t>
      </w:r>
      <w:r>
        <w:t xml:space="preserve">links out to the sibling MMVSola and LAI Parameter Explorer apps with as many parameters</w:t>
      </w:r>
      <w:r>
        <w:t xml:space="preserve"> </w:t>
      </w:r>
      <w:r>
        <w:t xml:space="preserve">pre-filled as MMVFree can supply (Chapter</w:t>
      </w:r>
      <w:r>
        <w:t xml:space="preserve"> </w:t>
      </w:r>
      <w:r>
        <w:t xml:space="preserve">1</w:t>
      </w:r>
      <w:r>
        <w:t xml:space="preserve">). A</w:t>
      </w:r>
      <w:r>
        <w:t xml:space="preserve"> </w:t>
      </w:r>
      <w:r>
        <w:rPr>
          <w:bCs/>
          <w:b/>
        </w:rPr>
        <w:t xml:space="preserve">Report</w:t>
      </w:r>
      <w:r>
        <w:t xml:space="preserve"> </w:t>
      </w:r>
      <w:r>
        <w:t xml:space="preserve">button in the sidebar</w:t>
      </w:r>
      <w:r>
        <w:t xml:space="preserve"> </w:t>
      </w:r>
      <w:r>
        <w:t xml:space="preserve">downloads a multi-sheet Excel workbook documenting the inputs and predictions (see Chapter</w:t>
      </w:r>
      <w:r>
        <w:t xml:space="preserve"> </w:t>
      </w:r>
      <w:r>
        <w:t xml:space="preserve">4</w:t>
      </w:r>
      <w:r>
        <w:t xml:space="preserve">); a previously generated MMVFree report can itself be re-uploaded on the File</w:t>
      </w:r>
      <w:r>
        <w:t xml:space="preserve"> </w:t>
      </w:r>
      <w:r>
        <w:t xml:space="preserve">Input tab, making it easy to resume earlier work or combine results across sessions.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userguide_files/images/intro_02_unbound_dos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This guide first walks through a practical usage scenario (Chapter</w:t>
      </w:r>
      <w:r>
        <w:t xml:space="preserve"> </w:t>
      </w:r>
      <w:r>
        <w:t xml:space="preserve">1</w:t>
      </w:r>
      <w:r>
        <w:t xml:space="preserve">), then</w:t>
      </w:r>
      <w:r>
        <w:t xml:space="preserve"> </w:t>
      </w:r>
      <w:r>
        <w:t xml:space="preserve">describes the underlying methods - unbound PK parameter prediction (Chapter</w:t>
      </w:r>
      <w:r>
        <w:t xml:space="preserve"> </w:t>
      </w:r>
      <w:r>
        <w:t xml:space="preserve">2</w:t>
      </w:r>
      <w:r>
        <w:t xml:space="preserve">) and dose prediction (Chapter</w:t>
      </w:r>
      <w:r>
        <w:t xml:space="preserve"> </w:t>
      </w:r>
      <w:r>
        <w:t xml:space="preserve">3</w:t>
      </w:r>
      <w:r>
        <w:t xml:space="preserve">) - and</w:t>
      </w:r>
      <w:r>
        <w:t xml:space="preserve"> </w:t>
      </w:r>
      <w:r>
        <w:t xml:space="preserve">finally explains what the downloadable report contains (Chapter</w:t>
      </w:r>
      <w:r>
        <w:t xml:space="preserve"> </w:t>
      </w:r>
      <w:r>
        <w:t xml:space="preserve">4</w:t>
      </w:r>
      <w:r>
        <w:t xml:space="preserve">).</w:t>
      </w:r>
    </w:p>
    <w:bookmarkEnd w:id="27"/>
    <w:bookmarkEnd w:id="28"/>
    <w:bookmarkStart w:id="80" w:name="quick-start"/>
    <w:p>
      <w:pPr>
        <w:pStyle w:val="Heading1"/>
      </w:pPr>
      <w:r>
        <w:rPr>
          <w:rStyle w:val="SectionNumber"/>
        </w:rPr>
        <w:t xml:space="preserve">1</w:t>
      </w:r>
      <w:r>
        <w:tab/>
      </w:r>
      <w:r>
        <w:t xml:space="preserve">Quick Start</w:t>
      </w:r>
    </w:p>
    <w:p>
      <w:pPr>
        <w:pStyle w:val="FirstParagraph"/>
      </w:pPr>
      <w:r>
        <w:t xml:space="preserve">This chapter walks through a complete MMVFree session for a single compound: uploading data,</w:t>
      </w:r>
      <w:r>
        <w:t xml:space="preserve"> </w:t>
      </w:r>
      <w:r>
        <w:t xml:space="preserve">reviewing the predicted parameters and doses, downloading a report, and jumping across to the</w:t>
      </w:r>
      <w:r>
        <w:t xml:space="preserve"> </w:t>
      </w:r>
      <w:r>
        <w:t xml:space="preserve">sibling apps MMVSola and LAI Parameter Explorer for a compound of interest. It uses the malaria</w:t>
      </w:r>
      <w:r>
        <w:t xml:space="preserve"> </w:t>
      </w:r>
      <w:r>
        <w:t xml:space="preserve">drug chloroquine (</w:t>
      </w:r>
      <w:r>
        <w:rPr>
          <w:rStyle w:val="VerbatimChar"/>
        </w:rPr>
        <w:t xml:space="preserve">tests/testthat/MMV008_Chloroquine.xlsx</w:t>
      </w:r>
      <w:r>
        <w:t xml:space="preserve"> </w:t>
      </w:r>
      <w:r>
        <w:t xml:space="preserve">in the MMVFree repository) as a</w:t>
      </w:r>
      <w:r>
        <w:t xml:space="preserve"> </w:t>
      </w:r>
      <w:r>
        <w:t xml:space="preserve">worked, non-confidential example throughout.</w:t>
      </w:r>
    </w:p>
    <w:p>
      <w:pPr>
        <w:pStyle w:val="BodyText"/>
      </w:pPr>
      <w:r>
        <w:rPr>
          <w:bCs/>
          <w:b/>
        </w:rPr>
        <w:t xml:space="preserve">A tip before you start:</w:t>
      </w:r>
      <w:r>
        <w:t xml:space="preserve"> </w:t>
      </w:r>
      <w:r>
        <w:t xml:space="preserve">if a screenshot below looks too small to read, right-click it and</w:t>
      </w:r>
      <w:r>
        <w:t xml:space="preserve"> </w:t>
      </w:r>
      <w:r>
        <w:t xml:space="preserve">choose</w:t>
      </w:r>
      <w:r>
        <w:t xml:space="preserve"> </w:t>
      </w:r>
      <w:r>
        <w:rPr>
          <w:iCs/>
          <w:i/>
        </w:rPr>
        <w:t xml:space="preserve">Open image in new tab</w:t>
      </w:r>
      <w:r>
        <w:t xml:space="preserve"> </w:t>
      </w:r>
      <w:r>
        <w:t xml:space="preserve">(or your browser’s equivalent) to view it at full resolution.</w:t>
      </w:r>
    </w:p>
    <w:bookmarkStart w:id="37" w:name="Xb8cb884356a1fc5b421d25ab43c0137534f14bd"/>
    <w:p>
      <w:pPr>
        <w:pStyle w:val="Heading2"/>
      </w:pPr>
      <w:r>
        <w:t xml:space="preserve">Before you start: export the data from Science Cloud</w:t>
      </w:r>
    </w:p>
    <w:p>
      <w:pPr>
        <w:pStyle w:val="FirstParagraph"/>
      </w:pPr>
      <w:r>
        <w:t xml:space="preserve">In Science Cloud, select your compounds and batches, click</w:t>
      </w:r>
      <w:r>
        <w:t xml:space="preserve"> </w:t>
      </w:r>
      <w:r>
        <w:rPr>
          <w:bCs/>
          <w:b/>
        </w:rPr>
        <w:t xml:space="preserve">Export</w:t>
      </w:r>
      <w:r>
        <w:t xml:space="preserve"> </w:t>
      </w:r>
      <w:r>
        <w:t xml:space="preserve">above the results table</w:t>
      </w:r>
      <w:r>
        <w:t xml:space="preserve"> </w:t>
      </w:r>
      <w:r>
        <w:t xml:space="preserve">(Figure</w:t>
      </w:r>
      <w:r>
        <w:t xml:space="preserve"> </w:t>
      </w:r>
      <w:r>
        <w:t xml:space="preserve">1.1</w:t>
      </w:r>
      <w:r>
        <w:t xml:space="preserve">), choose</w:t>
      </w:r>
      <w:r>
        <w:t xml:space="preserve"> </w:t>
      </w:r>
      <w:r>
        <w:rPr>
          <w:bCs/>
          <w:b/>
        </w:rPr>
        <w:t xml:space="preserve">RD-00-0000 - GENERIC MMVSOLA EXTRACTION</w:t>
      </w:r>
      <w:r>
        <w:t xml:space="preserve"> </w:t>
      </w:r>
      <w:r>
        <w:t xml:space="preserve">on the</w:t>
      </w:r>
      <w:r>
        <w:t xml:space="preserve"> </w:t>
      </w:r>
      <w:r>
        <w:rPr>
          <w:iCs/>
          <w:i/>
        </w:rPr>
        <w:t xml:space="preserve">Standard</w:t>
      </w:r>
      <w:r>
        <w:t xml:space="preserve"> </w:t>
      </w:r>
      <w:r>
        <w:t xml:space="preserve">tab and click</w:t>
      </w:r>
      <w:r>
        <w:t xml:space="preserve"> </w:t>
      </w:r>
      <w:r>
        <w:rPr>
          <w:bCs/>
          <w:b/>
        </w:rPr>
        <w:t xml:space="preserve">Export</w:t>
      </w:r>
      <w:r>
        <w:t xml:space="preserve"> </w:t>
      </w:r>
      <w:r>
        <w:t xml:space="preserve">again (Figure</w:t>
      </w:r>
      <w:r>
        <w:t xml:space="preserve"> </w:t>
      </w:r>
      <w:r>
        <w:t xml:space="preserve">1.2</w:t>
      </w:r>
      <w:r>
        <w:t xml:space="preserve">). The Excel file</w:t>
      </w:r>
      <w:r>
        <w:t xml:space="preserve"> </w:t>
      </w:r>
      <w:r>
        <w:t xml:space="preserve">this produces is the Science Cloud extract uploaded in Step 1.</w:t>
      </w:r>
    </w:p>
    <w:p>
      <w:pPr>
        <w:pStyle w:val="CaptionedFigure"/>
      </w:pPr>
      <w:r>
        <w:drawing>
          <wp:inline>
            <wp:extent cx="5334000" cy="415251"/>
            <wp:effectExtent b="0" l="0" r="0" t="0"/>
            <wp:docPr descr="Figure 1.1: The Export button in the Science Cloud search results" title="" id="30" name="Picture"/>
            <a:graphic>
              <a:graphicData uri="http://schemas.openxmlformats.org/drawingml/2006/picture">
                <pic:pic>
                  <pic:nvPicPr>
                    <pic:cNvPr descr="userguide_files/images/sc_01_export_button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52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bookmarkStart w:id="32" w:name="fig:qs-sc-export-button"/>
      <w:bookmarkEnd w:id="32"/>
      <w:r>
        <w:t xml:space="preserve">Figure 1.1: The Export button in the Science Cloud search results</w:t>
      </w:r>
    </w:p>
    <w:p>
      <w:pPr>
        <w:pStyle w:val="CaptionedFigure"/>
      </w:pPr>
      <w:r>
        <w:drawing>
          <wp:inline>
            <wp:extent cx="4267200" cy="2400300"/>
            <wp:effectExtent b="0" l="0" r="0" t="0"/>
            <wp:docPr descr="Figure 1.2: The Science Cloud export dialog with the extraction to select highlighted" title="" id="34" name="Picture"/>
            <a:graphic>
              <a:graphicData uri="http://schemas.openxmlformats.org/drawingml/2006/picture">
                <pic:pic>
                  <pic:nvPicPr>
                    <pic:cNvPr descr="userguide_files/images/sc_02_export_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bookmarkStart w:id="36" w:name="fig:qs-sc-export-dialog"/>
      <w:bookmarkEnd w:id="36"/>
      <w:r>
        <w:t xml:space="preserve">Figure 1.2: The Science Cloud export dialog with the extraction to select highlighted</w:t>
      </w:r>
    </w:p>
    <w:bookmarkEnd w:id="37"/>
    <w:bookmarkStart w:id="44" w:name="step-1-upload-a-science-cloud-file"/>
    <w:p>
      <w:pPr>
        <w:pStyle w:val="Heading2"/>
      </w:pPr>
      <w:r>
        <w:t xml:space="preserve">Step 1: Upload a Science Cloud file</w:t>
      </w:r>
    </w:p>
    <w:p>
      <w:pPr>
        <w:pStyle w:val="FirstParagraph"/>
      </w:pPr>
      <w:r>
        <w:t xml:space="preserve">MMVFree opens on the</w:t>
      </w:r>
      <w:r>
        <w:t xml:space="preserve"> </w:t>
      </w:r>
      <w:r>
        <w:rPr>
          <w:bCs/>
          <w:b/>
        </w:rPr>
        <w:t xml:space="preserve">File Input</w:t>
      </w:r>
      <w:r>
        <w:t xml:space="preserve"> </w:t>
      </w:r>
      <w:r>
        <w:t xml:space="preserve">tab. Before anything is uploaded, it shows a short welcome</w:t>
      </w:r>
      <w:r>
        <w:t xml:space="preserve"> </w:t>
      </w:r>
      <w:r>
        <w:t xml:space="preserve">message listing the ways to get started - a Science Cloud extract, a previously generated</w:t>
      </w:r>
      <w:r>
        <w:t xml:space="preserve"> </w:t>
      </w:r>
      <w:r>
        <w:t xml:space="preserve">MMVSola or MMVFree report, or entering parameters manually. (</w:t>
      </w:r>
      <w:r>
        <w:t xml:space="preserve">“</w:t>
      </w:r>
      <w:r>
        <w:t xml:space="preserve">Entering parameters manually</w:t>
      </w:r>
      <w:r>
        <w:t xml:space="preserve">”</w:t>
      </w:r>
      <w:r>
        <w:t xml:space="preserve"> </w:t>
      </w:r>
      <w:r>
        <w:t xml:space="preserve">means skipping this step entirely and instead typing values directly into the Input Parameters</w:t>
      </w:r>
      <w:r>
        <w:t xml:space="preserve"> </w:t>
      </w:r>
      <w:r>
        <w:t xml:space="preserve">table - see Step 2 below.)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userguide_files/images/qs_01_file_input_welcom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Click</w:t>
      </w:r>
      <w:r>
        <w:t xml:space="preserve"> </w:t>
      </w:r>
      <w:r>
        <w:rPr>
          <w:bCs/>
          <w:b/>
        </w:rPr>
        <w:t xml:space="preserve">Browse…</w:t>
      </w:r>
      <w:r>
        <w:t xml:space="preserve"> </w:t>
      </w:r>
      <w:r>
        <w:t xml:space="preserve">and select a Science Cloud Excel export (or a prior MMVFree/MMVSola report -</w:t>
      </w:r>
      <w:r>
        <w:t xml:space="preserve"> </w:t>
      </w:r>
      <w:r>
        <w:t xml:space="preserve">see Chapter</w:t>
      </w:r>
      <w:r>
        <w:t xml:space="preserve"> </w:t>
      </w:r>
      <w:r>
        <w:t xml:space="preserve">4</w:t>
      </w:r>
      <w:r>
        <w:t xml:space="preserve"> </w:t>
      </w:r>
      <w:r>
        <w:t xml:space="preserve">for what a report contains). Once uploaded, the File Input tab</w:t>
      </w:r>
      <w:r>
        <w:t xml:space="preserve"> </w:t>
      </w:r>
      <w:r>
        <w:t xml:space="preserve">shows two tables:</w:t>
      </w:r>
      <w:r>
        <w:t xml:space="preserve"> </w:t>
      </w:r>
      <w:r>
        <w:rPr>
          <w:bCs/>
          <w:b/>
        </w:rPr>
        <w:t xml:space="preserve">Science Cloud Individual Data</w:t>
      </w:r>
      <w:r>
        <w:t xml:space="preserve"> </w:t>
      </w:r>
      <w:r>
        <w:t xml:space="preserve">on the left - every raw assay record for the</w:t>
      </w:r>
      <w:r>
        <w:t xml:space="preserve"> </w:t>
      </w:r>
      <w:r>
        <w:t xml:space="preserve">compound, with a checkbox to include or exclude each one from averaging - and</w:t>
      </w:r>
      <w:r>
        <w:t xml:space="preserve"> </w:t>
      </w:r>
      <w:r>
        <w:rPr>
          <w:bCs/>
          <w:b/>
        </w:rPr>
        <w:t xml:space="preserve">Science Cloud</w:t>
      </w:r>
      <w:r>
        <w:rPr>
          <w:bCs/>
          <w:b/>
        </w:rPr>
        <w:t xml:space="preserve"> </w:t>
      </w:r>
      <w:r>
        <w:rPr>
          <w:bCs/>
          <w:b/>
        </w:rPr>
        <w:t xml:space="preserve">Average Parameters</w:t>
      </w:r>
      <w:r>
        <w:t xml:space="preserve"> </w:t>
      </w:r>
      <w:r>
        <w:t xml:space="preserve">on the right, the averaged value MMVFree actually uses for each parameter,</w:t>
      </w:r>
      <w:r>
        <w:t xml:space="preserve"> </w:t>
      </w:r>
      <w:r>
        <w:t xml:space="preserve">together with its unit and the averaging method applied.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userguide_files/images/qs_02_file_input_uploaded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When more than one compound has been loaded, the</w:t>
      </w:r>
      <w:r>
        <w:t xml:space="preserve"> </w:t>
      </w:r>
      <w:r>
        <w:rPr>
          <w:bCs/>
          <w:b/>
        </w:rPr>
        <w:t xml:space="preserve">Active compound</w:t>
      </w:r>
      <w:r>
        <w:t xml:space="preserve"> </w:t>
      </w:r>
      <w:r>
        <w:t xml:space="preserve">selector (top right)</w:t>
      </w:r>
      <w:r>
        <w:t xml:space="preserve"> </w:t>
      </w:r>
      <w:r>
        <w:t xml:space="preserve">chooses which compound’s two tables are displayed - it stays in sync with the compound selected</w:t>
      </w:r>
      <w:r>
        <w:t xml:space="preserve"> </w:t>
      </w:r>
      <w:r>
        <w:t xml:space="preserve">anywhere else in the app (see the cross-table highlighting mentioned in the next step). Unchecking</w:t>
      </w:r>
      <w:r>
        <w:t xml:space="preserve"> </w:t>
      </w:r>
      <w:r>
        <w:t xml:space="preserve">a record in the left-hand table live-recalculates that compound’s averaged values without needing</w:t>
      </w:r>
      <w:r>
        <w:t xml:space="preserve"> </w:t>
      </w:r>
      <w:r>
        <w:t xml:space="preserve">to re-upload the file.</w:t>
      </w:r>
    </w:p>
    <w:bookmarkEnd w:id="44"/>
    <w:bookmarkStart w:id="48" w:name="X070176660185ceae5b515bea9c533ff97ff4c97"/>
    <w:p>
      <w:pPr>
        <w:pStyle w:val="Heading2"/>
      </w:pPr>
      <w:r>
        <w:t xml:space="preserve">Step 2: Review the aggregated Input Parameters</w:t>
      </w:r>
    </w:p>
    <w:p>
      <w:pPr>
        <w:pStyle w:val="FirstParagraph"/>
      </w:pPr>
      <w:r>
        <w:t xml:space="preserve">Switch to the</w:t>
      </w:r>
      <w:r>
        <w:t xml:space="preserve"> </w:t>
      </w:r>
      <w:r>
        <w:rPr>
          <w:bCs/>
          <w:b/>
        </w:rPr>
        <w:t xml:space="preserve">Unbound parameters &amp; dose</w:t>
      </w:r>
      <w:r>
        <w:t xml:space="preserve"> </w:t>
      </w:r>
      <w:r>
        <w:t xml:space="preserve">tab. Its</w:t>
      </w:r>
      <w:r>
        <w:t xml:space="preserve"> </w:t>
      </w:r>
      <w:r>
        <w:rPr>
          <w:bCs/>
          <w:b/>
        </w:rPr>
        <w:t xml:space="preserve">Input Parameters</w:t>
      </w:r>
      <w:r>
        <w:t xml:space="preserve"> </w:t>
      </w:r>
      <w:r>
        <w:t xml:space="preserve">sub-tab (open by</w:t>
      </w:r>
      <w:r>
        <w:t xml:space="preserve"> </w:t>
      </w:r>
      <w:r>
        <w:t xml:space="preserve">default) shows one row per compound with every input parameter MMVFree found or defaulted -</w:t>
      </w:r>
      <w:r>
        <w:t xml:space="preserve"> </w:t>
      </w:r>
      <w:r>
        <w:t xml:space="preserve">color-coded by source (gold: from the Science Cloud file; white: entered/overwritten manually;</w:t>
      </w:r>
      <w:r>
        <w:t xml:space="preserve"> </w:t>
      </w:r>
      <w:r>
        <w:t xml:space="preserve">azure: a built-in default used because no value was available).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userguide_files/images/qs_03_input_parameters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Clicking a compound’s row here (or in any of the three tables in the steps below) highlights that</w:t>
      </w:r>
      <w:r>
        <w:t xml:space="preserve"> </w:t>
      </w:r>
      <w:r>
        <w:t xml:space="preserve">same compound everywhere else in the app - the other tables, the dose-landscape plots, and the</w:t>
      </w:r>
      <w:r>
        <w:t xml:space="preserve"> </w:t>
      </w:r>
      <w:r>
        <w:t xml:space="preserve">File Input tab’s Active compound selector all follow along.</w:t>
      </w:r>
    </w:p>
    <w:p>
      <w:pPr>
        <w:pStyle w:val="BodyText"/>
      </w:pPr>
      <w:r>
        <w:t xml:space="preserve">You can overwrite any cell directly, or type a value into a column’s header input field to apply</w:t>
      </w:r>
      <w:r>
        <w:t xml:space="preserve"> </w:t>
      </w:r>
      <w:r>
        <w:t xml:space="preserve">it to every compound at once.</w:t>
      </w:r>
    </w:p>
    <w:bookmarkEnd w:id="48"/>
    <w:bookmarkStart w:id="52" w:name="X5ae2c305d13c068d463a4e6bfbfefb056d65e84"/>
    <w:p>
      <w:pPr>
        <w:pStyle w:val="Heading2"/>
      </w:pPr>
      <w:r>
        <w:t xml:space="preserve">Step 3: Read the predicted unbound parameters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Unbound parameters</w:t>
      </w:r>
      <w:r>
        <w:t xml:space="preserve"> </w:t>
      </w:r>
      <w:r>
        <w:t xml:space="preserve">sub-tab shows the PK parameters MMVFree derives from the inputs above</w:t>
      </w:r>
      <w:r>
        <w:t xml:space="preserve"> </w:t>
      </w:r>
      <w:r>
        <w:t xml:space="preserve">- unbound intrinsic clearance, unbound volume of distribution (from two independent estimates,</w:t>
      </w:r>
      <w:r>
        <w:t xml:space="preserve"> </w:t>
      </w:r>
      <w:r>
        <w:t xml:space="preserve">“</w:t>
      </w:r>
      <w:r>
        <w:t xml:space="preserve">Vss source</w:t>
      </w:r>
      <w:r>
        <w:t xml:space="preserve">”</w:t>
      </w:r>
      <w:r>
        <w:t xml:space="preserve">), elimination rate and half-life, and unbound potency (MIC</w:t>
      </w:r>
      <w:r>
        <w:rPr>
          <w:vertAlign w:val="subscript"/>
        </w:rPr>
        <w:t xml:space="preserve">u</w:t>
      </w:r>
      <w:r>
        <w:t xml:space="preserve">). Chapter</w:t>
      </w:r>
      <w:r>
        <w:t xml:space="preserve"> </w:t>
      </w:r>
      <w:r>
        <w:t xml:space="preserve">2</w:t>
      </w:r>
      <w:r>
        <w:t xml:space="preserve"> </w:t>
      </w:r>
      <w:r>
        <w:t xml:space="preserve">explains exactly how each column is derived.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userguide_files/images/qs_04_unbound_parameters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2"/>
    <w:bookmarkStart w:id="56" w:name="step-4-read-the-oral-dose-prediction"/>
    <w:p>
      <w:pPr>
        <w:pStyle w:val="Heading2"/>
      </w:pPr>
      <w:r>
        <w:t xml:space="preserve">Step 4: Read the Oral dose prediction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Oral dose</w:t>
      </w:r>
      <w:r>
        <w:t xml:space="preserve"> </w:t>
      </w:r>
      <w:r>
        <w:t xml:space="preserve">sub-tab predicts the dose needed to keep the unbound concentration above</w:t>
      </w:r>
      <w:r>
        <w:t xml:space="preserve"> </w:t>
      </w:r>
      <w:r>
        <w:t xml:space="preserve">MIC</w:t>
      </w:r>
      <w:r>
        <w:rPr>
          <w:vertAlign w:val="subscript"/>
        </w:rPr>
        <w:t xml:space="preserve">u</w:t>
      </w:r>
      <w:r>
        <w:t xml:space="preserve"> </w:t>
      </w:r>
      <w:r>
        <w:t xml:space="preserve">for the target you set in the sidebar -</w:t>
      </w:r>
      <w:r>
        <w:t xml:space="preserve"> </w:t>
      </w:r>
      <w:r>
        <w:rPr>
          <w:bCs/>
          <w:b/>
        </w:rPr>
        <w:t xml:space="preserve">MICu time (days)</w:t>
      </w:r>
      <w:r>
        <w:t xml:space="preserve">,</w:t>
      </w:r>
      <w:r>
        <w:t xml:space="preserve"> </w:t>
      </w:r>
      <w:r>
        <w:rPr>
          <w:bCs/>
          <w:b/>
        </w:rPr>
        <w:t xml:space="preserve">No. doses</w:t>
      </w:r>
      <w:r>
        <w:t xml:space="preserve">, and</w:t>
      </w:r>
      <w:r>
        <w:t xml:space="preserve"> </w:t>
      </w:r>
      <w:r>
        <w:rPr>
          <w:bCs/>
          <w:b/>
        </w:rPr>
        <w:t xml:space="preserve">Regimen</w:t>
      </w:r>
      <w:r>
        <w:t xml:space="preserve"> </w:t>
      </w:r>
      <w:r>
        <w:t xml:space="preserve">(daily/weekly/monthly). The table shows one row per Vss source; the</w:t>
      </w:r>
      <w:r>
        <w:t xml:space="preserve"> </w:t>
      </w:r>
      <w:r>
        <w:rPr>
          <w:bCs/>
          <w:b/>
        </w:rPr>
        <w:t xml:space="preserve">dose-landscape</w:t>
      </w:r>
      <w:r>
        <w:t xml:space="preserve"> </w:t>
      </w:r>
      <w:r>
        <w:t xml:space="preserve">plot below it overlays the compound’s two predicted points on a theoretical grid across a wide</w:t>
      </w:r>
      <w:r>
        <w:t xml:space="preserve"> </w:t>
      </w:r>
      <w:r>
        <w:t xml:space="preserve">range of hypothetical Vss</w:t>
      </w:r>
      <w:r>
        <w:rPr>
          <w:vertAlign w:val="subscript"/>
        </w:rPr>
        <w:t xml:space="preserve">u</w:t>
      </w:r>
      <w:r>
        <w:t xml:space="preserve">/CL</w:t>
      </w:r>
      <w:r>
        <w:rPr>
          <w:vertAlign w:val="subscript"/>
        </w:rPr>
        <w:t xml:space="preserve">int,u</w:t>
      </w:r>
      <w:r>
        <w:t xml:space="preserve"> </w:t>
      </w:r>
      <w:r>
        <w:t xml:space="preserve">combinations, colour-coded by dose category (see the</w:t>
      </w:r>
      <w:r>
        <w:t xml:space="preserve"> </w:t>
      </w:r>
      <w:r>
        <w:t xml:space="preserve">footnote under the plot for the exact thresholds). Chapter</w:t>
      </w:r>
      <w:r>
        <w:t xml:space="preserve"> </w:t>
      </w:r>
      <w:r>
        <w:t xml:space="preserve">3</w:t>
      </w:r>
      <w:r>
        <w:t xml:space="preserve"> </w:t>
      </w:r>
      <w:r>
        <w:t xml:space="preserve">covers the</w:t>
      </w:r>
      <w:r>
        <w:t xml:space="preserve"> </w:t>
      </w:r>
      <w:r>
        <w:t xml:space="preserve">underlying dose formula and how to read the landscape plot in full.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userguide_files/images/qs_05_oral_dose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6"/>
    <w:bookmarkStart w:id="63" w:name="step-5-read-the-lai-dose-prediction"/>
    <w:p>
      <w:pPr>
        <w:pStyle w:val="Heading2"/>
      </w:pPr>
      <w:r>
        <w:t xml:space="preserve">Step 5: Read the LAI dose prediction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LAI dose</w:t>
      </w:r>
      <w:r>
        <w:t xml:space="preserve"> </w:t>
      </w:r>
      <w:r>
        <w:t xml:space="preserve">sub-tab is the long-acting-injectable equivalent, targeting the coverage</w:t>
      </w:r>
      <w:r>
        <w:t xml:space="preserve"> </w:t>
      </w:r>
      <w:r>
        <w:t xml:space="preserve">duration selected in the sidebar’s</w:t>
      </w:r>
      <w:r>
        <w:t xml:space="preserve"> </w:t>
      </w:r>
      <w:r>
        <w:rPr>
          <w:bCs/>
          <w:b/>
        </w:rPr>
        <w:t xml:space="preserve">MICu time</w:t>
      </w:r>
      <w:r>
        <w:t xml:space="preserve"> </w:t>
      </w:r>
      <w:r>
        <w:t xml:space="preserve">control (90 or 180 days). A single</w:t>
      </w:r>
      <w:r>
        <w:t xml:space="preserve"> </w:t>
      </w:r>
      <w:r>
        <w:t xml:space="preserve">administration is assumed, so there is no</w:t>
      </w:r>
      <w:r>
        <w:t xml:space="preserve"> </w:t>
      </w:r>
      <w:r>
        <w:t xml:space="preserve">“</w:t>
      </w:r>
      <w:r>
        <w:t xml:space="preserve">No. doses</w:t>
      </w:r>
      <w:r>
        <w:t xml:space="preserve">”</w:t>
      </w:r>
      <w:r>
        <w:t xml:space="preserve">/</w:t>
      </w:r>
      <w:r>
        <w:t xml:space="preserve">“</w:t>
      </w:r>
      <w:r>
        <w:t xml:space="preserve">Regimen</w:t>
      </w:r>
      <w:r>
        <w:t xml:space="preserve">”</w:t>
      </w:r>
      <w:r>
        <w:t xml:space="preserve"> </w:t>
      </w:r>
      <w:r>
        <w:t xml:space="preserve">control for this route.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userguide_files/images/qs_06_lai_dose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sidebar controls relevant to both dose sub-tabs are grouped together, alongside the</w:t>
      </w:r>
      <w:r>
        <w:t xml:space="preserve"> </w:t>
      </w:r>
      <w:r>
        <w:rPr>
          <w:bCs/>
          <w:b/>
        </w:rPr>
        <w:t xml:space="preserve">Report</w:t>
      </w:r>
      <w:r>
        <w:t xml:space="preserve"> </w:t>
      </w:r>
      <w:r>
        <w:t xml:space="preserve">button used in the next step:</w:t>
      </w:r>
    </w:p>
    <w:p>
      <w:pPr>
        <w:pStyle w:val="BodyText"/>
      </w:pPr>
      <w:r>
        <w:drawing>
          <wp:inline>
            <wp:extent cx="1866900" cy="3986263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userguide_files/images/qs_09_sidebar_controls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39862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3"/>
    <w:bookmarkStart w:id="64" w:name="step-6-download-the-report"/>
    <w:p>
      <w:pPr>
        <w:pStyle w:val="Heading2"/>
      </w:pPr>
      <w:r>
        <w:t xml:space="preserve">Step 6: Download the report</w:t>
      </w:r>
    </w:p>
    <w:p>
      <w:pPr>
        <w:pStyle w:val="FirstParagraph"/>
      </w:pPr>
      <w:r>
        <w:t xml:space="preserve">Click</w:t>
      </w:r>
      <w:r>
        <w:t xml:space="preserve"> </w:t>
      </w:r>
      <w:r>
        <w:rPr>
          <w:bCs/>
          <w:b/>
        </w:rPr>
        <w:t xml:space="preserve">Report</w:t>
      </w:r>
      <w:r>
        <w:t xml:space="preserve"> </w:t>
      </w:r>
      <w:r>
        <w:t xml:space="preserve">in the sidebar to download a multi-sheet Excel workbook documenting the</w:t>
      </w:r>
      <w:r>
        <w:t xml:space="preserve"> </w:t>
      </w:r>
      <w:r>
        <w:t xml:space="preserve">uploaded inputs and every prediction shown above, for every loaded compound. Chapter</w:t>
      </w:r>
      <w:r>
        <w:t xml:space="preserve"> </w:t>
      </w:r>
      <w:r>
        <w:t xml:space="preserve">4</w:t>
      </w:r>
      <w:r>
        <w:t xml:space="preserve"> </w:t>
      </w:r>
      <w:r>
        <w:t xml:space="preserve">describes what each of its 7 sheets contains. A report downloaded this way can</w:t>
      </w:r>
      <w:r>
        <w:t xml:space="preserve"> </w:t>
      </w:r>
      <w:r>
        <w:t xml:space="preserve">itself be re-uploaded later on the File Input tab (Step 1), making it easy to resume a session or</w:t>
      </w:r>
      <w:r>
        <w:t xml:space="preserve"> </w:t>
      </w:r>
      <w:r>
        <w:t xml:space="preserve">combine results from several uploads.</w:t>
      </w:r>
    </w:p>
    <w:bookmarkEnd w:id="64"/>
    <w:bookmarkStart w:id="79" w:name="Xad21c4b5f8a4c38a223e80cd01ce2fa0e43d2e6"/>
    <w:p>
      <w:pPr>
        <w:pStyle w:val="Heading2"/>
      </w:pPr>
      <w:r>
        <w:t xml:space="preserve">Step 7: Explore a compound in MMVSola or LAI Parameter Explorer</w:t>
      </w:r>
    </w:p>
    <w:p>
      <w:pPr>
        <w:pStyle w:val="FirstParagraph"/>
      </w:pPr>
      <w:r>
        <w:t xml:space="preserve">Each row of the Oral dose and LAI dose tables carries small link icons next to the compound name,</w:t>
      </w:r>
      <w:r>
        <w:t xml:space="preserve"> </w:t>
      </w:r>
      <w:r>
        <w:t xml:space="preserve">for jumping to two sibling MMV applications with as many parameters pre-filled as MMVFree can</w:t>
      </w:r>
      <w:r>
        <w:t xml:space="preserve"> </w:t>
      </w:r>
      <w:r>
        <w:t xml:space="preserve">supply - saving the manual re-entry of everything MMVFree already knows about the compound.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MMVSola</w:t>
      </w:r>
      <w:r>
        <w:t xml:space="preserve"> </w:t>
      </w:r>
      <w:r>
        <w:t xml:space="preserve">icon (a green molecule glyph) appears on both the Oral dose and LAI dose</w:t>
      </w:r>
      <w:r>
        <w:t xml:space="preserve"> </w:t>
      </w:r>
      <w:r>
        <w:t xml:space="preserve">sub-tabs. Clicking it opens</w:t>
      </w:r>
      <w:r>
        <w:t xml:space="preserve"> </w:t>
      </w:r>
      <w:hyperlink r:id="rId65">
        <w:r>
          <w:rPr>
            <w:rStyle w:val="Hyperlink"/>
          </w:rPr>
          <w:t xml:space="preserve">MMVSola</w:t>
        </w:r>
      </w:hyperlink>
      <w:r>
        <w:t xml:space="preserve"> </w:t>
      </w:r>
      <w:r>
        <w:t xml:space="preserve">in a new tab, landing on the</w:t>
      </w:r>
      <w:r>
        <w:t xml:space="preserve"> </w:t>
      </w:r>
      <w:r>
        <w:t xml:space="preserve">matching Prediction sub-tab (Oral or LAI) with the compound’s name and every transferable</w:t>
      </w:r>
      <w:r>
        <w:t xml:space="preserve"> </w:t>
      </w:r>
      <w:r>
        <w:t xml:space="preserve">parameter already filled in.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LAI Parameter Explorer</w:t>
      </w:r>
      <w:r>
        <w:t xml:space="preserve"> </w:t>
      </w:r>
      <w:r>
        <w:t xml:space="preserve">icon appears only on the LAI dose sub-tab (an oral MMVFree</w:t>
      </w:r>
      <w:r>
        <w:t xml:space="preserve"> </w:t>
      </w:r>
      <w:r>
        <w:t xml:space="preserve">compound has no direct LAI Parameter Explorer equivalent to link to). Clicking it opens</w:t>
      </w:r>
      <w:r>
        <w:t xml:space="preserve"> </w:t>
      </w:r>
      <w:hyperlink r:id="rId66">
        <w:r>
          <w:rPr>
            <w:rStyle w:val="Hyperlink"/>
          </w:rPr>
          <w:t xml:space="preserve">LAI Parameter Explorer</w:t>
        </w:r>
      </w:hyperlink>
      <w:r>
        <w:t xml:space="preserve"> </w:t>
      </w:r>
      <w:r>
        <w:t xml:space="preserve">with the same pre-fill behavior.</w:t>
      </w:r>
    </w:p>
    <w:p>
      <w:pPr>
        <w:pStyle w:val="CaptionedFigure"/>
      </w:pPr>
      <w:r>
        <w:drawing>
          <wp:inline>
            <wp:extent cx="2400300" cy="822960"/>
            <wp:effectExtent b="0" l="0" r="0" t="0"/>
            <wp:docPr descr="Figure 1.3: The MMVSola link icon on the Oral dose sub-tab (Compound column)" title="" id="68" name="Picture"/>
            <a:graphic>
              <a:graphicData uri="http://schemas.openxmlformats.org/drawingml/2006/picture">
                <pic:pic>
                  <pic:nvPicPr>
                    <pic:cNvPr descr="userguide_files/images/qs_07_mmvsola_icon_zoom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bookmarkStart w:id="70" w:name="fig:qs-mmvsola-icon"/>
      <w:bookmarkEnd w:id="70"/>
      <w:r>
        <w:t xml:space="preserve">Figure 1.3: The MMVSola link icon on the Oral dose sub-tab (Compound column)</w:t>
      </w:r>
    </w:p>
    <w:p>
      <w:pPr>
        <w:pStyle w:val="CaptionedFigure"/>
      </w:pPr>
      <w:r>
        <w:drawing>
          <wp:inline>
            <wp:extent cx="2400300" cy="727959"/>
            <wp:effectExtent b="0" l="0" r="0" t="0"/>
            <wp:docPr descr="Figure 1.4: Both link icons on the LAI dose sub-tab: LAI Parameter Explorer (left) and MMVSola (right)" title="" id="72" name="Picture"/>
            <a:graphic>
              <a:graphicData uri="http://schemas.openxmlformats.org/drawingml/2006/picture">
                <pic:pic>
                  <pic:nvPicPr>
                    <pic:cNvPr descr="userguide_files/images/qs_08_lai_icons_zoom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727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bookmarkStart w:id="74" w:name="fig:qs-lai-icons"/>
      <w:bookmarkEnd w:id="74"/>
      <w:r>
        <w:t xml:space="preserve">Figure 1.4: Both link icons on the LAI dose sub-tab: LAI Parameter Explorer (left) and MMVSola (right)</w:t>
      </w:r>
    </w:p>
    <w:p>
      <w:pPr>
        <w:pStyle w:val="BodyText"/>
      </w:pPr>
      <w:r>
        <w:t xml:space="preserve">Following the MMVSola icon from the Oral dose row above opens MMVSola already on its Oral</w:t>
      </w:r>
      <w:r>
        <w:t xml:space="preserve"> </w:t>
      </w:r>
      <w:r>
        <w:t xml:space="preserve">Prediction sub-tab, with the compound field validated (green checkmark) and the transferred</w:t>
      </w:r>
      <w:r>
        <w:t xml:space="preserve"> </w:t>
      </w:r>
      <w:r>
        <w:t xml:space="preserve">parameters - molecular weight, plasma binding, blood-to-plasma ratio, in vitro clearance and</w:t>
      </w:r>
      <w:r>
        <w:t xml:space="preserve"> </w:t>
      </w:r>
      <w:r>
        <w:t xml:space="preserve">potency, Vss, and oral absorption - already populating its own prediction, with no further input</w:t>
      </w:r>
      <w:r>
        <w:t xml:space="preserve"> </w:t>
      </w:r>
      <w:r>
        <w:t xml:space="preserve">needed:</w:t>
      </w:r>
    </w:p>
    <w:p>
      <w:pPr>
        <w:pStyle w:val="CaptionedFigure"/>
      </w:pPr>
      <w:r>
        <w:drawing>
          <wp:inline>
            <wp:extent cx="5334000" cy="3333750"/>
            <wp:effectExtent b="0" l="0" r="0" t="0"/>
            <wp:docPr descr="Figure 1.5: MMVSola’s Oral Prediction sub-tab immediately after following the link from MMVFree" title="" id="76" name="Picture"/>
            <a:graphic>
              <a:graphicData uri="http://schemas.openxmlformats.org/drawingml/2006/picture">
                <pic:pic>
                  <pic:nvPicPr>
                    <pic:cNvPr descr="userguide_files/images/qs_10_mmvsola_landing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bookmarkStart w:id="78" w:name="fig:qs-mmvsola-landing"/>
      <w:bookmarkEnd w:id="78"/>
      <w:r>
        <w:t xml:space="preserve">Figure 1.5: MMVSola’s Oral Prediction sub-tab immediately after following the link from MMVFree</w:t>
      </w:r>
    </w:p>
    <w:p>
      <w:pPr>
        <w:pStyle w:val="BodyText"/>
      </w:pPr>
      <w:r>
        <w:t xml:space="preserve">A row missing a parameter a destination app requires for its own link gets no icon for that</w:t>
      </w:r>
      <w:r>
        <w:t xml:space="preserve"> </w:t>
      </w:r>
      <w:r>
        <w:t xml:space="preserve">destination at all, rather than a link with a blank or</w:t>
      </w:r>
      <w:r>
        <w:t xml:space="preserve"> </w:t>
      </w:r>
      <w:r>
        <w:t xml:space="preserve">“</w:t>
      </w:r>
      <w:r>
        <w:t xml:space="preserve">NA</w:t>
      </w:r>
      <w:r>
        <w:t xml:space="preserve">”</w:t>
      </w:r>
      <w:r>
        <w:t xml:space="preserve"> </w:t>
      </w:r>
      <w:r>
        <w:t xml:space="preserve">value in it - so an icon’s absence is</w:t>
      </w:r>
      <w:r>
        <w:t xml:space="preserve"> </w:t>
      </w:r>
      <w:r>
        <w:t xml:space="preserve">itself informative: something that row needs is missing further up in the File Input or Input</w:t>
      </w:r>
      <w:r>
        <w:t xml:space="preserve"> </w:t>
      </w:r>
      <w:r>
        <w:t xml:space="preserve">Parameters step.</w:t>
      </w:r>
    </w:p>
    <w:bookmarkEnd w:id="79"/>
    <w:bookmarkEnd w:id="80"/>
    <w:bookmarkStart w:id="95" w:name="unbound-parameter-prediction"/>
    <w:p>
      <w:pPr>
        <w:pStyle w:val="Heading1"/>
      </w:pPr>
      <w:r>
        <w:rPr>
          <w:rStyle w:val="SectionNumber"/>
        </w:rPr>
        <w:t xml:space="preserve">2</w:t>
      </w:r>
      <w:r>
        <w:tab/>
      </w:r>
      <w:r>
        <w:t xml:space="preserve">Unbound Parameter Prediction</w:t>
      </w:r>
    </w:p>
    <w:bookmarkStart w:id="84" w:name="overview"/>
    <w:p>
      <w:pPr>
        <w:pStyle w:val="Heading2"/>
      </w:pPr>
      <w:r>
        <w:rPr>
          <w:rStyle w:val="SectionNumber"/>
        </w:rPr>
        <w:t xml:space="preserve">2.1</w:t>
      </w:r>
      <w:r>
        <w:tab/>
      </w:r>
      <w:r>
        <w:t xml:space="preserve">Overview</w:t>
      </w:r>
    </w:p>
    <w:p>
      <w:pPr>
        <w:pStyle w:val="FirstParagraph"/>
      </w:pPr>
      <w:r>
        <w:t xml:space="preserve">For every compound, MMVFree predicts a small set of</w:t>
      </w:r>
      <w:r>
        <w:t xml:space="preserve"> </w:t>
      </w:r>
      <w:r>
        <w:rPr>
          <w:bCs/>
          <w:b/>
        </w:rPr>
        <w:t xml:space="preserve">unbound</w:t>
      </w:r>
      <w:r>
        <w:t xml:space="preserve"> </w:t>
      </w:r>
      <w:r>
        <w:t xml:space="preserve">(free-drug) PK parameters -</w:t>
      </w:r>
      <w:r>
        <w:t xml:space="preserve"> </w:t>
      </w:r>
      <w:r>
        <w:t xml:space="preserve">unbound intrinsic clearance, unbound volume of distribution, and unbound potency (MIC</w:t>
      </w:r>
      <w:r>
        <w:rPr>
          <w:vertAlign w:val="subscript"/>
        </w:rPr>
        <w:t xml:space="preserve">u</w:t>
      </w:r>
      <w:r>
        <w:t xml:space="preserve">) -</w:t>
      </w:r>
      <w:r>
        <w:t xml:space="preserve"> </w:t>
      </w:r>
      <w:r>
        <w:t xml:space="preserve">directly from in vitro clearance/potency data and a volume-of-distribution estimate (the</w:t>
      </w:r>
      <w:r>
        <w:t xml:space="preserve"> </w:t>
      </w:r>
      <w:r>
        <w:t xml:space="preserve">elimination rate and terminal half-life are also estimated from these same inputs). These</w:t>
      </w:r>
      <w:r>
        <w:t xml:space="preserve"> </w:t>
      </w:r>
      <w:r>
        <w:t xml:space="preserve">parameters are what the dose predictions of Chapter</w:t>
      </w:r>
      <w:r>
        <w:t xml:space="preserve"> </w:t>
      </w:r>
      <w:r>
        <w:t xml:space="preserve">3</w:t>
      </w:r>
      <w:r>
        <w:t xml:space="preserve"> </w:t>
      </w:r>
      <w:r>
        <w:t xml:space="preserve">are built from. All</w:t>
      </w:r>
      <w:r>
        <w:t xml:space="preserve"> </w:t>
      </w:r>
      <w:r>
        <w:t xml:space="preserve">patient-scale quantities use a fixed reference body weight of 55 kg.</w:t>
      </w:r>
    </w:p>
    <w:p>
      <w:pPr>
        <w:pStyle w:val="BodyText"/>
      </w:pPr>
      <w:r>
        <w:t xml:space="preserve">The diagram below is a map of how those predictions are derived: boxes are quantities, arrows</w:t>
      </w:r>
      <w:r>
        <w:t xml:space="preserve"> </w:t>
      </w:r>
      <w:r>
        <w:t xml:space="preserve">are derivation steps, and arrow labels name the assumption or method behind each step. It</w:t>
      </w:r>
      <w:r>
        <w:t xml:space="preserve"> </w:t>
      </w:r>
      <w:r>
        <w:t xml:space="preserve">collapses into three independent chains that only meet at</w:t>
      </w:r>
      <w:r>
        <w:t xml:space="preserve"> </w:t>
      </w:r>
      <m:oMath>
        <m:sSub>
          <m:e>
            <m:r>
              <m:t>k</m:t>
            </m:r>
          </m:e>
          <m:sub>
            <m:r>
              <m:t>e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:</w:t>
      </w:r>
      <w:r>
        <w:t xml:space="preserve"> </w:t>
      </w:r>
      <w:r>
        <w:rPr>
          <w:bCs/>
          <w:b/>
        </w:rPr>
        <w:t xml:space="preserve">clearance and</w:t>
      </w:r>
      <w:r>
        <w:rPr>
          <w:bCs/>
          <w:b/>
        </w:rPr>
        <w:t xml:space="preserve"> </w:t>
      </w:r>
      <w:r>
        <w:rPr>
          <w:bCs/>
          <w:b/>
        </w:rPr>
        <w:t xml:space="preserve">hepatic extraction</w:t>
      </w:r>
      <w:r>
        <w:t xml:space="preserve"> </w:t>
      </w:r>
      <w:r>
        <w:t xml:space="preserve">(left -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  <w:r>
        <w:t xml:space="preserve"> </w:t>
      </w:r>
      <w:r>
        <w:t xml:space="preserve">is itself a reported output,</w:t>
      </w:r>
      <w:r>
        <w:t xml:space="preserve"> </w:t>
      </w:r>
      <w:r>
        <w:t xml:space="preserve">“</w:t>
      </w:r>
      <w:r>
        <w:t xml:space="preserve">Human CL,u</w:t>
      </w:r>
      <w:r>
        <w:t xml:space="preserve">”</w:t>
      </w:r>
      <w:r>
        <w:t xml:space="preserve">, not just an</w:t>
      </w:r>
      <w:r>
        <w:t xml:space="preserve"> </w:t>
      </w:r>
      <w:r>
        <w:t xml:space="preserve">intermediate), which feeds both</w:t>
      </w:r>
      <w:r>
        <w:t xml:space="preserve"> </w:t>
      </w:r>
      <m:oMath>
        <m:sSub>
          <m:e>
            <m:r>
              <m:t>k</m:t>
            </m:r>
          </m:e>
          <m:sub>
            <m:r>
              <m:t>e</m:t>
            </m:r>
          </m:sub>
        </m:sSub>
      </m:oMath>
      <w:r>
        <w:t xml:space="preserve"> </w:t>
      </w:r>
      <w:r>
        <w:t xml:space="preserve">(together with</w:t>
      </w:r>
      <w:r>
        <w:t xml:space="preserve"> </w:t>
      </w:r>
      <w:r>
        <w:rPr>
          <w:bCs/>
          <w:b/>
        </w:rPr>
        <w:t xml:space="preserve">volume of distribution</w:t>
      </w:r>
      <w:r>
        <w:t xml:space="preserve">) and, via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,</w:t>
      </w:r>
      <w:r>
        <w:t xml:space="preserve"> </w:t>
      </w:r>
      <w:r>
        <w:rPr>
          <w:bCs/>
          <w:b/>
        </w:rPr>
        <w:t xml:space="preserve">oral bioavailability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(together with the Oral Fraction Absorbed input - used by the</w:t>
      </w:r>
      <w:r>
        <w:t xml:space="preserve"> </w:t>
      </w:r>
      <w:r>
        <w:t xml:space="preserve">dose formula in Chapter</w:t>
      </w:r>
      <w:r>
        <w:t xml:space="preserve"> </w:t>
      </w:r>
      <w:r>
        <w:t xml:space="preserve">3</w:t>
      </w:r>
      <w:r>
        <w:t xml:space="preserve">); and two chains that don’t touch the rest at all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LAI terminal half-life</w:t>
      </w:r>
      <w:r>
        <w:t xml:space="preserve"> </w:t>
      </w:r>
      <w:r>
        <w:t xml:space="preserve">(set entirely by the fixed LAI absorption rate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  <m:r>
              <m:t>A</m:t>
            </m:r>
            <m:r>
              <m:t>I</m:t>
            </m:r>
          </m:sub>
        </m:sSub>
      </m:oMath>
      <w:r>
        <w:t xml:space="preserve">, not by</w:t>
      </w:r>
      <w:r>
        <w:t xml:space="preserve"> </w:t>
      </w:r>
      <w:r>
        <w:t xml:space="preserve">clearance or volume) and</w:t>
      </w:r>
      <w:r>
        <w:t xml:space="preserve"> </w:t>
      </w:r>
      <w:r>
        <w:rPr>
          <w:bCs/>
          <w:b/>
        </w:rPr>
        <w:t xml:space="preserve">unbound potency, MIC</w:t>
      </w:r>
      <w:r>
        <w:rPr>
          <w:vertAlign w:val="subscript"/>
          <w:bCs/>
          <w:b/>
        </w:rPr>
        <w:t xml:space="preserve">u</w:t>
      </w:r>
      <w:r>
        <w:t xml:space="preserve"> </w:t>
      </w:r>
      <w:r>
        <w:t xml:space="preserve">(its own in vitro-to-human chain, described</w:t>
      </w:r>
      <w:r>
        <w:t xml:space="preserve"> </w:t>
      </w:r>
      <w:r>
        <w:t xml:space="preserve">in</w:t>
      </w:r>
      <w:r>
        <w:t xml:space="preserve"> </w:t>
      </w:r>
      <w:r>
        <w:t xml:space="preserve">2.7</w:t>
      </w:r>
      <w:r>
        <w:t xml:space="preserve">). The oral terminal half-life additionally depends directly on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  <m:r>
              <m:rPr>
                <m:sty m:val="p"/>
              </m:rPr>
              <m:t>,</m:t>
            </m:r>
            <m:r>
              <m:t>o</m:t>
            </m:r>
            <m:r>
              <m:t>r</m:t>
            </m:r>
            <m:r>
              <m:t>a</m:t>
            </m:r>
            <m:r>
              <m:t>l</m:t>
            </m:r>
          </m:sub>
        </m:sSub>
      </m:oMath>
      <w:r>
        <w:t xml:space="preserve"> </w:t>
      </w:r>
      <w:r>
        <w:t xml:space="preserve">(via the</w:t>
      </w:r>
      <w:r>
        <w:t xml:space="preserve"> </w:t>
      </w:r>
      <w:r>
        <w:t xml:space="preserve">“</w:t>
      </w:r>
      <m:oMath>
        <m:sSub>
          <m:e>
            <m:r>
              <m:t>k</m:t>
            </m:r>
          </m:e>
          <m:sub>
            <m:r>
              <m:t>a</m:t>
            </m:r>
            <m:r>
              <m:rPr>
                <m:sty m:val="p"/>
              </m:rPr>
              <m:t>,</m:t>
            </m:r>
            <m:r>
              <m:t>o</m:t>
            </m:r>
            <m:r>
              <m:t>r</m:t>
            </m:r>
            <m:r>
              <m:t>a</m:t>
            </m:r>
            <m:r>
              <m:t>l</m:t>
            </m:r>
          </m:sub>
        </m:sSub>
        <m:r>
          <m:rPr>
            <m:sty m:val="p"/>
          </m:rPr>
          <m:t>≫</m:t>
        </m:r>
        <m:sSub>
          <m:e>
            <m:r>
              <m:t>k</m:t>
            </m:r>
          </m:e>
          <m:sub>
            <m:r>
              <m:t>e</m:t>
            </m:r>
          </m:sub>
        </m:sSub>
      </m:oMath>
      <w:r>
        <w:t xml:space="preserve">”</w:t>
      </w:r>
      <w:r>
        <w:t xml:space="preserve"> </w:t>
      </w:r>
      <w:r>
        <w:t xml:space="preserve">rate-limiting condition), not just on</w:t>
      </w:r>
      <w:r>
        <w:t xml:space="preserve"> </w:t>
      </w:r>
      <m:oMath>
        <m:sSub>
          <m:e>
            <m:r>
              <m:t>k</m:t>
            </m:r>
          </m:e>
          <m:sub>
            <m:r>
              <m:t>e</m:t>
            </m:r>
          </m:sub>
        </m:sSub>
      </m:oMath>
      <w:r>
        <w:t xml:space="preserve">. Blue</w:t>
      </w:r>
      <w:r>
        <w:t xml:space="preserve"> </w:t>
      </w:r>
      <w:r>
        <w:t xml:space="preserve">boxes are inputs (measured or otherwise supplied), grey boxes are intermediates, green boxes are</w:t>
      </w:r>
      <w:r>
        <w:t xml:space="preserve"> </w:t>
      </w:r>
      <w:r>
        <w:t xml:space="preserve">this chapter’s outputs (some, like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  <w:r>
        <w:t xml:space="preserve">, are both).</w:t>
      </w:r>
    </w:p>
    <w:p>
      <w:pPr>
        <w:pStyle w:val="BodyText"/>
      </w:pPr>
      <w:r>
        <w:drawing>
          <wp:inline>
            <wp:extent cx="5334000" cy="2909454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userguide_files/images/unbound_parameter_flow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9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sections below walk through each of these steps in full, in the order: unbound intrinsic</w:t>
      </w:r>
      <w:r>
        <w:t xml:space="preserve"> </w:t>
      </w:r>
      <w:r>
        <w:t xml:space="preserve">clearance (</w:t>
      </w:r>
      <w:r>
        <w:t xml:space="preserve">2.2</w:t>
      </w:r>
      <w:r>
        <w:t xml:space="preserve">), volume of distribution</w:t>
      </w:r>
      <w:r>
        <w:t xml:space="preserve"> </w:t>
      </w:r>
      <w:r>
        <w:t xml:space="preserve">(</w:t>
      </w:r>
      <w:r>
        <w:t xml:space="preserve">2.3</w:t>
      </w:r>
      <w:r>
        <w:t xml:space="preserve">), hepatic extraction and</w:t>
      </w:r>
      <w:r>
        <w:t xml:space="preserve"> </w:t>
      </w:r>
      <m:oMath>
        <m:sSub>
          <m:e>
            <m:r>
              <m:t>k</m:t>
            </m:r>
          </m:e>
          <m:sub>
            <m:r>
              <m:t>e</m:t>
            </m:r>
          </m:sub>
        </m:sSub>
      </m:oMath>
      <w:r>
        <w:t xml:space="preserve"> </w:t>
      </w:r>
      <w:r>
        <w:t xml:space="preserve">(</w:t>
      </w:r>
      <w:r>
        <w:t xml:space="preserve">2.4</w:t>
      </w:r>
      <w:r>
        <w:t xml:space="preserve">,</w:t>
      </w:r>
      <w:r>
        <w:t xml:space="preserve"> </w:t>
      </w:r>
      <w:r>
        <w:t xml:space="preserve">2.5</w:t>
      </w:r>
      <w:r>
        <w:t xml:space="preserve">), terminal</w:t>
      </w:r>
      <w:r>
        <w:t xml:space="preserve"> </w:t>
      </w:r>
      <w:r>
        <w:t xml:space="preserve">half-life (</w:t>
      </w:r>
      <w:r>
        <w:t xml:space="preserve">2.6</w:t>
      </w:r>
      <w:r>
        <w:t xml:space="preserve">), and unbound potency (</w:t>
      </w:r>
      <w:r>
        <w:t xml:space="preserve">2.7</w:t>
      </w:r>
      <w:r>
        <w:t xml:space="preserve">).</w:t>
      </w:r>
    </w:p>
    <w:p>
      <w:pPr>
        <w:pStyle w:val="BodyText"/>
      </w:pPr>
      <w:r>
        <w:t xml:space="preserve">Several of the quantities in the diagram look similar but are defined in different matrices -</w:t>
      </w:r>
      <w:r>
        <w:t xml:space="preserve"> </w:t>
      </w:r>
      <w:r>
        <w:rPr>
          <w:bCs/>
          <w:b/>
        </w:rPr>
        <w:t xml:space="preserve">blood</w:t>
      </w:r>
      <w:r>
        <w:t xml:space="preserve">,</w:t>
      </w:r>
      <w:r>
        <w:t xml:space="preserve"> </w:t>
      </w:r>
      <w:r>
        <w:rPr>
          <w:bCs/>
          <w:b/>
        </w:rPr>
        <w:t xml:space="preserve">plasma</w:t>
      </w:r>
      <w:r>
        <w:t xml:space="preserve">, or an</w:t>
      </w:r>
      <w:r>
        <w:t xml:space="preserve"> </w:t>
      </w:r>
      <w:r>
        <w:rPr>
          <w:bCs/>
          <w:b/>
        </w:rPr>
        <w:t xml:space="preserve">in vitro assay medium</w:t>
      </w:r>
      <w:r>
        <w:t xml:space="preserve"> </w:t>
      </w:r>
      <w:r>
        <w:t xml:space="preserve">- and some of those also come in a</w:t>
      </w:r>
      <w:r>
        <w:t xml:space="preserve"> </w:t>
      </w:r>
      <w:r>
        <w:rPr>
          <w:bCs/>
          <w:b/>
        </w:rPr>
        <w:t xml:space="preserve">total</w:t>
      </w:r>
      <w:r>
        <w:t xml:space="preserve"> </w:t>
      </w:r>
      <w:r>
        <w:t xml:space="preserve">(bound + unbound) and an</w:t>
      </w:r>
      <w:r>
        <w:t xml:space="preserve"> </w:t>
      </w:r>
      <w:r>
        <w:rPr>
          <w:bCs/>
          <w:b/>
        </w:rPr>
        <w:t xml:space="preserve">unbound (free)</w:t>
      </w:r>
      <w:r>
        <w:t xml:space="preserve"> </w:t>
      </w:r>
      <w:r>
        <w:t xml:space="preserve">form within the same matrix. Mixing either</w:t>
      </w:r>
      <w:r>
        <w:t xml:space="preserve"> </w:t>
      </w:r>
      <w:r>
        <w:t xml:space="preserve">of these up is the easiest way to misread a PK formula. The glossary below lists every symbol</w:t>
      </w:r>
      <w:r>
        <w:t xml:space="preserve"> </w:t>
      </w:r>
      <w:r>
        <w:t xml:space="preserve">used in this chapter, together with its</w:t>
      </w:r>
      <w:r>
        <w:t xml:space="preserve"> </w:t>
      </w:r>
      <w:r>
        <w:rPr>
          <w:bCs/>
          <w:b/>
        </w:rPr>
        <w:t xml:space="preserve">Kind</w:t>
      </w:r>
      <w:r>
        <w:t xml:space="preserve"> </w:t>
      </w:r>
      <w:r>
        <w:t xml:space="preserve">- whether it’s an</w:t>
      </w:r>
      <w:r>
        <w:t xml:space="preserve"> </w:t>
      </w:r>
      <w:r>
        <w:rPr>
          <w:bCs/>
          <w:b/>
        </w:rPr>
        <w:t xml:space="preserve">Input</w:t>
      </w:r>
      <w:r>
        <w:t xml:space="preserve"> </w:t>
      </w:r>
      <w:r>
        <w:t xml:space="preserve">(a value the user</w:t>
      </w:r>
      <w:r>
        <w:t xml:space="preserve"> </w:t>
      </w:r>
      <w:r>
        <w:t xml:space="preserve">supplies, directly or via an uploaded file), a</w:t>
      </w:r>
      <w:r>
        <w:t xml:space="preserve"> </w:t>
      </w:r>
      <w:r>
        <w:rPr>
          <w:bCs/>
          <w:b/>
        </w:rPr>
        <w:t xml:space="preserve">Constant</w:t>
      </w:r>
      <w:r>
        <w:t xml:space="preserve"> </w:t>
      </w:r>
      <w:r>
        <w:t xml:space="preserve">(a fixed value built into MMVFree,</w:t>
      </w:r>
      <w:r>
        <w:t xml:space="preserve"> </w:t>
      </w:r>
      <w:r>
        <w:t xml:space="preserve">not compound-specific), or</w:t>
      </w:r>
      <w:r>
        <w:t xml:space="preserve"> </w:t>
      </w:r>
      <w:r>
        <w:rPr>
          <w:bCs/>
          <w:b/>
        </w:rPr>
        <w:t xml:space="preserve">Derived</w:t>
      </w:r>
      <w:r>
        <w:t xml:space="preserve"> </w:t>
      </w:r>
      <w:r>
        <w:t xml:space="preserve">(calculated from other quantities in this table, via the</w:t>
      </w:r>
      <w:r>
        <w:t xml:space="preserve"> </w:t>
      </w:r>
      <w:r>
        <w:t xml:space="preserve">formula shown) - for reference while reading the sections that follow.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Symbol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Matrix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Typical units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 body weight</w:t>
            </w:r>
            <w:r>
              <w:t xml:space="preserve"> </w:t>
            </w:r>
            <m:oMath>
              <m:r>
                <m:rPr>
                  <m:sty m:val="p"/>
                </m:rPr>
                <m:t>=</m:t>
              </m:r>
              <m:r>
                <m:t>55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MPPGL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Microsomal protein per gram liver</w:t>
            </w:r>
            <w:r>
              <w:t xml:space="preserve"> </w:t>
            </w:r>
            <m:oMath>
              <m:r>
                <m:rPr>
                  <m:sty m:val="p"/>
                </m:rPr>
                <m:t>=</m:t>
              </m:r>
              <m:r>
                <m:t>40</m:t>
              </m:r>
            </m:oMath>
            <w:r>
              <w:t xml:space="preserve"> </w:t>
            </w:r>
            <w:r>
              <w:t xml:space="preserve">(updated 2026-06-18, MMVFree#5)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mg protein/g liver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LiverWeight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liver weight</w:t>
            </w:r>
            <w:r>
              <w:t xml:space="preserve"> </w:t>
            </w:r>
            <m:oMath>
              <m:r>
                <m:rPr>
                  <m:sty m:val="p"/>
                </m:rPr>
                <m:t>=</m:t>
              </m:r>
              <m:r>
                <m:t>25.5</m:t>
              </m:r>
            </m:oMath>
            <w:r>
              <w:t xml:space="preserve"> </w:t>
            </w:r>
            <w:r>
              <w:t xml:space="preserve">(updated 2026-06-18, MMVFree#5)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 liver/kg BW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Q</m:t>
                  </m:r>
                </m:e>
                <m:sub>
                  <m:r>
                    <m:t>h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Constant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Hepatic blood flow</w:t>
            </w:r>
            <w:r>
              <w:t xml:space="preserve"> </w:t>
            </w:r>
            <m:oMath>
              <m:r>
                <m:rPr>
                  <m:sty m:val="p"/>
                </m:rPr>
                <m:t>=</m:t>
              </m:r>
              <m:r>
                <m:t>20.7</m:t>
              </m:r>
            </m:oMath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MMVbase::get_NumericConstantsAsList()$QhPatient_mLPerMinPerkg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mL/min/kg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n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t>i</m:t>
                  </m:r>
                  <m:r>
                    <m:t>c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Input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Measured microsomal intrinsic clearance (total, not yet corrected for microsomal binding)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 vitro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µL/min/mg protein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BPratio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Blood-to-plasma concentration ratio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Relates blood ↔ plasma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V</m:t>
              </m:r>
              <m:r>
                <m:t>s</m:t>
              </m:r>
              <m:r>
                <m:t>s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Input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Steady-state volume of distribution, total - as conventionally measured (e.g. rat</w:t>
            </w:r>
            <w:r>
              <w:t xml:space="preserve"> </w:t>
            </w:r>
            <m:oMath>
              <m:r>
                <m:t>V</m:t>
              </m:r>
              <m:r>
                <m:t>s</m:t>
              </m:r>
              <m:sSub>
                <m:e>
                  <m:r>
                    <m:t>s</m:t>
                  </m:r>
                </m:e>
                <m:sub>
                  <m:r>
                    <m:t>R</m:t>
                  </m:r>
                </m:sub>
              </m:sSub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L/kg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k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t>r</m:t>
                  </m:r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t>A</m:t>
                  </m:r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Input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Absorption rate constants (oral / LAI)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1/h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F</m:t>
                  </m:r>
                </m:e>
                <m:sub>
                  <m:r>
                    <m:t>o</m:t>
                  </m:r>
                  <m:r>
                    <m:t>r</m:t>
                  </m:r>
                  <m:r>
                    <m:t>a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p</m:t>
                  </m:r>
                  <m:r>
                    <m:t>r</m:t>
                  </m:r>
                  <m:r>
                    <m:t>e</m:t>
                  </m:r>
                  <m:r>
                    <m:t>1</m:t>
                  </m:r>
                  <m:r>
                    <m:t>s</m:t>
                  </m:r>
                  <m:r>
                    <m:t>t</m:t>
                  </m:r>
                  <m:r>
                    <m:t>p</m:t>
                  </m:r>
                  <m:r>
                    <m:t>a</m:t>
                  </m:r>
                  <m:r>
                    <m:t>s</m:t>
                  </m:r>
                  <m:r>
                    <m:t>s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Input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Oral fraction absorbed before first-pass extraction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(0-1)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I</m:t>
              </m:r>
              <m:r>
                <m:t>C</m:t>
              </m:r>
              <m:r>
                <m:t>50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Input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 vitro potency, total (bound)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 vitro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nM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sSub>
                <m:e>
                  <m:r>
                    <m:t>u</m:t>
                  </m:r>
                </m:e>
                <m:sub>
                  <m:r>
                    <m:t>m</m:t>
                  </m:r>
                  <m:r>
                    <m:t>i</m:t>
                  </m:r>
                  <m:r>
                    <m:t>c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 of drug unbound in the microsomal incubation (</w:t>
            </w:r>
            <m:oMath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%</m:t>
              </m:r>
              <m:r>
                <m:rPr>
                  <m:nor/>
                  <m:sty m:val="p"/>
                </m:rPr>
                <m:t>MicrosomePB</m:t>
              </m:r>
              <m:r>
                <m:rPr>
                  <m:sty m:val="p"/>
                </m:rPr>
                <m:t>/</m:t>
              </m:r>
              <m:r>
                <m:t>100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 vitro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n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Unbound, whole-body-scaled intrinsic clearance - reported in the app as</w:t>
            </w:r>
            <w:r>
              <w:t xml:space="preserve"> </w:t>
            </w:r>
            <w:r>
              <w:t xml:space="preserve">“</w:t>
            </w:r>
            <w:r>
              <w:t xml:space="preserve">Human CL,u</w:t>
            </w:r>
            <w:r>
              <w:t xml:space="preserve">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Intrinsic - not tied to a blood or plasma matrix, see</w:t>
            </w:r>
            <w:r>
              <w:t xml:space="preserve"> </w:t>
            </w:r>
            <w:r>
              <w:t xml:space="preserve">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L/h or mL/min/kg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sSub>
                <m:e>
                  <m:r>
                    <m:t>u</m:t>
                  </m:r>
                </m:e>
                <m:sub>
                  <m:r>
                    <m:t>p</m:t>
                  </m:r>
                  <m:r>
                    <m:t>l</m:t>
                  </m:r>
                  <m:r>
                    <m:t>a</m:t>
                  </m:r>
                  <m:r>
                    <m:t>s</m:t>
                  </m:r>
                  <m:r>
                    <m:t>m</m:t>
                  </m:r>
                  <m:r>
                    <m:t>a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 of drug unbound in plasma (</w:t>
            </w:r>
            <m:oMath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%</m:t>
              </m:r>
              <m:r>
                <m:rPr>
                  <m:nor/>
                  <m:sty m:val="p"/>
                </m:rPr>
                <m:t>PPB</m:t>
              </m:r>
              <m:r>
                <m:rPr>
                  <m:sty m:val="p"/>
                </m:rPr>
                <m:t>/</m:t>
              </m:r>
              <m:r>
                <m:t>100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sSub>
                <m:e>
                  <m:r>
                    <m:t>u</m:t>
                  </m:r>
                </m:e>
                <m:sub>
                  <m:r>
                    <m:t>b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 of drug unbound in blood (</w:t>
            </w:r>
            <m:oMath>
              <m:r>
                <m:rPr>
                  <m:sty m:val="p"/>
                </m:rPr>
                <m:t>=</m:t>
              </m:r>
              <m:r>
                <m:t>F</m:t>
              </m:r>
              <m:sSub>
                <m:e>
                  <m:r>
                    <m:t>u</m:t>
                  </m:r>
                </m:e>
                <m:sub>
                  <m:r>
                    <m:t>p</m:t>
                  </m:r>
                  <m:r>
                    <m:t>l</m:t>
                  </m:r>
                  <m:r>
                    <m:t>a</m:t>
                  </m:r>
                  <m:r>
                    <m:t>s</m:t>
                  </m:r>
                  <m:r>
                    <m:t>m</m:t>
                  </m:r>
                  <m:r>
                    <m:t>a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nor/>
                  <m:sty m:val="p"/>
                </m:rPr>
                <m:t>BPratio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C</m:t>
                  </m:r>
                </m:e>
                <m:sub>
                  <m:r>
                    <m:t>i</m:t>
                  </m:r>
                  <m:r>
                    <m:t>n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o</m:t>
                  </m:r>
                  <m:r>
                    <m:t>u</m:t>
                  </m:r>
                  <m:r>
                    <m:t>t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Drug concentration in blood entering / leaving the liver (conceptual, well-stirred model derivation only)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mg/L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h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Hepatic clearance from the well-stirred model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mL/min/kg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E</m:t>
                  </m:r>
                </m:e>
                <m:sub>
                  <m:r>
                    <m:t>H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Hepatic extraction ratio (</w:t>
            </w:r>
            <m:oMath>
              <m:r>
                <m:rPr>
                  <m:sty m:val="p"/>
                </m:rPr>
                <m:t>=</m:t>
              </m:r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r>
                    <m:t>Q</m:t>
                  </m:r>
                </m:e>
                <m:sub>
                  <m:r>
                    <m:t>h</m:t>
                  </m:r>
                </m:sub>
              </m:sSub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F</m:t>
                  </m:r>
                </m:e>
                <m:sub>
                  <m:r>
                    <m:t>h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Hepatic availability factor: fraction surviving one pass through the liver (</w:t>
            </w:r>
            <m:oMath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E</m:t>
                  </m:r>
                </m:e>
                <m:sub>
                  <m:r>
                    <m:t>H</m:t>
                  </m:r>
                </m:sub>
              </m:sSub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(0-1)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p</m:t>
                  </m:r>
                  <m:r>
                    <m:t>l</m:t>
                  </m:r>
                  <m:r>
                    <m:t>a</m:t>
                  </m:r>
                  <m:r>
                    <m:t>s</m:t>
                  </m:r>
                  <m:r>
                    <m:t>m</m:t>
                  </m:r>
                  <m:r>
                    <m:t>a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Hepatic clearance re-expressed in the plasma matrix, total (</w:t>
            </w:r>
            <m:oMath>
              <m:r>
                <m:rPr>
                  <m:sty m:val="p"/>
                </m:rPr>
                <m:t>=</m:t>
              </m:r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nor/>
                  <m:sty m:val="p"/>
                </m:rPr>
                <m:t>BPratio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mL/min/kg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V</m:t>
              </m:r>
              <m:r>
                <m:t>s</m:t>
              </m:r>
              <m:sSub>
                <m:e>
                  <m:r>
                    <m:t>s</m:t>
                  </m:r>
                </m:e>
                <m:sub>
                  <m:r>
                    <m:t>u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Unbound volume of distribution (</w:t>
            </w:r>
            <m:oMath>
              <m:r>
                <m:rPr>
                  <m:sty m:val="p"/>
                </m:rPr>
                <m:t>=</m:t>
              </m:r>
              <m:r>
                <m:t>V</m:t>
              </m:r>
              <m:r>
                <m:t>s</m:t>
              </m:r>
              <m:r>
                <m:t>s</m:t>
              </m:r>
              <m:r>
                <m:rPr>
                  <m:sty m:val="p"/>
                </m:rPr>
                <m:t>/</m:t>
              </m:r>
              <m:r>
                <m:t>F</m:t>
              </m:r>
              <m:sSub>
                <m:e>
                  <m:r>
                    <m:t>u</m:t>
                  </m:r>
                </m:e>
                <m:sub>
                  <m:r>
                    <m:t>p</m:t>
                  </m:r>
                  <m:r>
                    <m:t>l</m:t>
                  </m:r>
                  <m:r>
                    <m:t>a</m:t>
                  </m:r>
                  <m:r>
                    <m:t>s</m:t>
                  </m:r>
                  <m:r>
                    <m:t>m</m:t>
                  </m:r>
                  <m:r>
                    <m:t>a</m:t>
                  </m:r>
                </m:sub>
              </m:sSub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 or L/kg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k</m:t>
                  </m:r>
                </m:e>
                <m:sub>
                  <m:r>
                    <m:t>e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Elimination rate constant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1/h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Oral bioavailability (</w:t>
            </w:r>
            <m:oMath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o</m:t>
                  </m:r>
                  <m:r>
                    <m:t>r</m:t>
                  </m:r>
                  <m:r>
                    <m:t>a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p</m:t>
                  </m:r>
                  <m:r>
                    <m:t>r</m:t>
                  </m:r>
                  <m:r>
                    <m:t>e</m:t>
                  </m:r>
                  <m:r>
                    <m:t>1</m:t>
                  </m:r>
                  <m:r>
                    <m:t>s</m:t>
                  </m:r>
                  <m:r>
                    <m:t>t</m:t>
                  </m:r>
                  <m:r>
                    <m:t>p</m:t>
                  </m:r>
                  <m:r>
                    <m:t>a</m:t>
                  </m:r>
                  <m:r>
                    <m:t>s</m:t>
                  </m:r>
                  <m:r>
                    <m:t>s</m:t>
                  </m:r>
                </m:sub>
              </m:sSub>
              <m:r>
                <m:rPr>
                  <m:sty m:val="p"/>
                </m:rPr>
                <m:t>×</m:t>
              </m:r>
              <m:sSub>
                <m:e>
                  <m:r>
                    <m:t>F</m:t>
                  </m:r>
                </m:e>
                <m:sub>
                  <m:r>
                    <m:t>h</m:t>
                  </m:r>
                </m:sub>
              </m:sSub>
            </m:oMath>
            <w:r>
              <w:t xml:space="preserve">) - used by the dose formula, Chapter</w:t>
            </w:r>
            <w:r>
              <w:t xml:space="preserve"> </w:t>
            </w: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(0-1)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sSub>
                <m:e>
                  <m:r>
                    <m:t>u</m:t>
                  </m:r>
                </m:e>
                <m:sub>
                  <m:r>
                    <m:t>A</m:t>
                  </m:r>
                  <m:r>
                    <m:t>l</m:t>
                  </m:r>
                  <m:r>
                    <m:t>b</m:t>
                  </m:r>
                  <m:r>
                    <m:t>u</m:t>
                  </m:r>
                  <m:r>
                    <m:t>m</m:t>
                  </m:r>
                  <m:r>
                    <m:t>a</m:t>
                  </m:r>
                  <m:r>
                    <m:t>x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 of drug unbound in the Albumax-supplemented in vitro assay medium (</w:t>
            </w:r>
            <m:oMath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%</m:t>
              </m:r>
              <m:r>
                <m:rPr>
                  <m:nor/>
                  <m:sty m:val="p"/>
                </m:rPr>
                <m:t>AlbumaxPB</m:t>
              </m:r>
              <m:r>
                <m:rPr>
                  <m:sty m:val="p"/>
                </m:rPr>
                <m:t>/</m:t>
              </m:r>
              <m:r>
                <m:t>100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 vitro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I</m:t>
              </m:r>
              <m:r>
                <m:t>C</m:t>
              </m:r>
              <m:sSub>
                <m:e>
                  <m:r>
                    <m:t>50</m:t>
                  </m:r>
                </m:e>
                <m:sub>
                  <m:r>
                    <m:t>u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 vitro potency, unbound (</w:t>
            </w:r>
            <m:oMath>
              <m:r>
                <m:rPr>
                  <m:sty m:val="p"/>
                </m:rPr>
                <m:t>=</m:t>
              </m:r>
              <m:r>
                <m:t>I</m:t>
              </m:r>
              <m:r>
                <m:t>C</m:t>
              </m:r>
              <m:r>
                <m:t>50</m:t>
              </m:r>
              <m:r>
                <m:rPr>
                  <m:sty m:val="p"/>
                </m:rPr>
                <m:t>×</m:t>
              </m:r>
              <m:r>
                <m:t>F</m:t>
              </m:r>
              <m:sSub>
                <m:e>
                  <m:r>
                    <m:t>u</m:t>
                  </m:r>
                </m:e>
                <m:sub>
                  <m:r>
                    <m:t>A</m:t>
                  </m:r>
                  <m:r>
                    <m:t>l</m:t>
                  </m:r>
                  <m:r>
                    <m:t>b</m:t>
                  </m:r>
                  <m:r>
                    <m:t>u</m:t>
                  </m:r>
                  <m:r>
                    <m:t>m</m:t>
                  </m:r>
                  <m:r>
                    <m:t>a</m:t>
                  </m:r>
                  <m:r>
                    <m:t>x</m:t>
                  </m:r>
                </m:sub>
              </m:sSub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 vitro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nM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M</m:t>
              </m:r>
              <m:r>
                <m:t>I</m:t>
              </m:r>
              <m:sSub>
                <m:e>
                  <m:r>
                    <m:t>C</m:t>
                  </m:r>
                </m:e>
                <m:sub>
                  <m:r>
                    <m:t>p</m:t>
                  </m:r>
                  <m:r>
                    <m:t>l</m:t>
                  </m:r>
                  <m:r>
                    <m:t>a</m:t>
                  </m:r>
                  <m:r>
                    <m:t>s</m:t>
                  </m:r>
                  <m:r>
                    <m:t>m</m:t>
                  </m:r>
                  <m:r>
                    <m:t>a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Minimum inhibitory concentration,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ng/mL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M</m:t>
              </m:r>
              <m:r>
                <m:t>I</m:t>
              </m:r>
              <m:sSub>
                <m:e>
                  <m:r>
                    <m:t>C</m:t>
                  </m:r>
                </m:e>
                <m:sub>
                  <m:r>
                    <m:t>u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Derived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Unbound minimum inhibitory concentration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nM</w:t>
            </w:r>
          </w:p>
        </w:tc>
      </w:tr>
    </w:tbl>
    <w:p>
      <w:pPr>
        <w:pStyle w:val="BodyText"/>
      </w:pP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  <w:r>
        <w:t xml:space="preserve"> </w:t>
      </w:r>
      <w:r>
        <w:t xml:space="preserve">isn’t tied to a blood or plasma matrix, because intrinsic clearance is defined at</w:t>
      </w:r>
      <w:r>
        <w:t xml:space="preserve"> </w:t>
      </w:r>
      <w:r>
        <w:t xml:space="preserve">the level of the liver’s enzymes acting on unbound drug, before any question of how that drug is</w:t>
      </w:r>
      <w:r>
        <w:t xml:space="preserve"> </w:t>
      </w:r>
      <w:r>
        <w:t xml:space="preserve">carried in blood or plasma arises - the blood/plasma distinction only enters once whole-organ</w:t>
      </w:r>
      <w:r>
        <w:t xml:space="preserve"> </w:t>
      </w:r>
      <w:r>
        <w:t xml:space="preserve">blood flow (</w:t>
      </w:r>
      <m:oMath>
        <m:sSub>
          <m:e>
            <m:r>
              <m:t>Q</m:t>
            </m:r>
          </m:e>
          <m:sub>
            <m:r>
              <m:t>h</m:t>
            </m:r>
          </m:sub>
        </m:sSub>
      </m:oMath>
      <w:r>
        <w:t xml:space="preserve">) gets involved, in the hepatic extraction model below.</w:t>
      </w:r>
    </w:p>
    <w:bookmarkEnd w:id="84"/>
    <w:bookmarkStart w:id="85" w:name="unbound-intrinsic-clearance-clintu"/>
    <w:p>
      <w:pPr>
        <w:pStyle w:val="Heading2"/>
      </w:pPr>
      <w:r>
        <w:rPr>
          <w:rStyle w:val="SectionNumber"/>
        </w:rPr>
        <w:t xml:space="preserve">2.2</w:t>
      </w:r>
      <w:r>
        <w:tab/>
      </w:r>
      <w:r>
        <w:t xml:space="preserve">Unbound Intrinsic Clearance (CL</w:t>
      </w:r>
      <w:r>
        <w:rPr>
          <w:vertAlign w:val="subscript"/>
        </w:rPr>
        <w:t xml:space="preserve">int,u</w:t>
      </w:r>
      <w:r>
        <w:t xml:space="preserve">)</w:t>
      </w:r>
    </w:p>
    <w:p>
      <w:pPr>
        <w:pStyle w:val="FirstParagraph"/>
      </w:pPr>
      <w:r>
        <w:t xml:space="preserve">The starting point is a measured microsomal intrinsic clearance,</w:t>
      </w:r>
      <w:r>
        <w:t xml:space="preserve"> </w:t>
      </w:r>
      <w:r>
        <w:rPr>
          <w:rStyle w:val="VerbatimChar"/>
        </w:rPr>
        <w:t xml:space="preserve">CLint_mic_H_uLminmg</w:t>
      </w:r>
      <w:r>
        <w:t xml:space="preserve"> </w:t>
      </w:r>
      <w:r>
        <w:t xml:space="preserve">(µL/min/mg microsomal protein) - a</w:t>
      </w:r>
      <w:r>
        <w:t xml:space="preserve"> </w:t>
      </w:r>
      <w:r>
        <w:rPr>
          <w:bCs/>
          <w:b/>
        </w:rPr>
        <w:t xml:space="preserve">total</w:t>
      </w:r>
      <w:r>
        <w:t xml:space="preserve">, uncorrected in vitro measurement, since the</w:t>
      </w:r>
      <w:r>
        <w:t xml:space="preserve"> </w:t>
      </w:r>
      <w:r>
        <w:t xml:space="preserve">incubation itself involves some degree of microsomal protein binding. MMVFree reports two</w:t>
      </w:r>
      <w:r>
        <w:t xml:space="preserve"> </w:t>
      </w:r>
      <w:r>
        <w:t xml:space="preserve">related but distinct unbound clearance values derived from it, at two different scales:</w:t>
      </w:r>
    </w:p>
    <w:p>
      <w:pPr>
        <w:pStyle w:val="BodyText"/>
      </w:pPr>
      <w:r>
        <w:rPr>
          <w:bCs/>
          <w:b/>
        </w:rPr>
        <w:t xml:space="preserve">1. Unbound intrinsic clearance at assay scale.</w:t>
      </w:r>
      <w:r>
        <w:t xml:space="preserve"> </w:t>
      </w:r>
      <w:r>
        <w:t xml:space="preserve">Dividing directly by the fraction unbound in</w:t>
      </w:r>
      <w:r>
        <w:t xml:space="preserve"> </w:t>
      </w:r>
      <w:r>
        <w:t xml:space="preserve">the microsomal incubation,</w:t>
      </w:r>
      <w:r>
        <w:t xml:space="preserve"> </w:t>
      </w:r>
      <m:oMath>
        <m:r>
          <m:t>F</m:t>
        </m:r>
        <m:sSub>
          <m:e>
            <m:r>
              <m:t>u</m:t>
            </m:r>
          </m:e>
          <m:sub>
            <m:r>
              <m:t>m</m:t>
            </m:r>
            <m:r>
              <m:t>i</m:t>
            </m:r>
            <m:r>
              <m:t>c</m:t>
            </m:r>
          </m:sub>
        </m:sSub>
      </m:oMath>
      <w:r>
        <w:t xml:space="preserve">, gives the unbound clearance still expressed per mg of</w:t>
      </w:r>
      <w:r>
        <w:t xml:space="preserve"> </w:t>
      </w:r>
      <w:r>
        <w:t xml:space="preserve">microsomal protein - reported in the app as</w:t>
      </w:r>
      <w:r>
        <w:t xml:space="preserve"> </w:t>
      </w:r>
      <w:r>
        <w:t xml:space="preserve">“</w:t>
      </w:r>
      <w:r>
        <w:t xml:space="preserve">CL</w:t>
      </w:r>
      <w:r>
        <w:rPr>
          <w:vertAlign w:val="subscript"/>
        </w:rPr>
        <w:t xml:space="preserve">int,u</w:t>
      </w:r>
      <w:r>
        <w:t xml:space="preserve"> </w:t>
      </w:r>
      <w:r>
        <w:t xml:space="preserve">(µL/min/mg microsome)</w:t>
      </w:r>
      <w:r>
        <w:t xml:space="preserve">”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sSub>
            <m:e>
              <m:r>
                <m:t>L</m:t>
              </m:r>
            </m:e>
            <m:sub>
              <m:r>
                <m:t>i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t>i</m:t>
              </m:r>
              <m:r>
                <m:t>c</m:t>
              </m:r>
            </m:sub>
          </m:sSub>
          <m:r>
            <m:t> </m:t>
          </m:r>
          <m:d>
            <m:dPr>
              <m:begChr m:val="["/>
              <m:endChr m:val="]"/>
              <m:sepChr m:val=""/>
              <m:grow/>
            </m:dPr>
            <m:e>
              <m:r>
                <m:t>μ</m:t>
              </m:r>
              <m:r>
                <m:t>L</m:t>
              </m:r>
              <m:r>
                <m:rPr>
                  <m:sty m:val="p"/>
                </m:rPr>
                <m:t>/</m:t>
              </m:r>
              <m:r>
                <m:t>m</m:t>
              </m:r>
              <m:r>
                <m:t>i</m:t>
              </m:r>
              <m:r>
                <m:t>n</m:t>
              </m:r>
              <m:r>
                <m:rPr>
                  <m:sty m:val="p"/>
                </m:rPr>
                <m:t>/</m:t>
              </m:r>
              <m:r>
                <m:t>m</m:t>
              </m:r>
              <m:r>
                <m:t>g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n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t>i</m:t>
                  </m:r>
                  <m:r>
                    <m:t>c</m:t>
                  </m:r>
                </m:sub>
              </m:sSub>
            </m:num>
            <m:den>
              <m:r>
                <m:t>F</m:t>
              </m:r>
              <m:sSub>
                <m:e>
                  <m:r>
                    <m:t>u</m:t>
                  </m:r>
                </m:e>
                <m:sub>
                  <m:r>
                    <m:t>m</m:t>
                  </m:r>
                  <m:r>
                    <m:t>i</m:t>
                  </m:r>
                  <m:r>
                    <m:t>c</m:t>
                  </m:r>
                </m:sub>
              </m:sSub>
            </m:den>
          </m:f>
          <m:r>
            <m:rPr>
              <m:sty m:val="p"/>
            </m:rPr>
            <m:t>,</m:t>
          </m:r>
          <m:r>
            <m:t>  </m:t>
          </m:r>
          <m:r>
            <m:t>F</m:t>
          </m:r>
          <m:sSub>
            <m:e>
              <m:r>
                <m:t>u</m:t>
              </m:r>
            </m:e>
            <m:sub>
              <m:r>
                <m:t>m</m:t>
              </m:r>
              <m:r>
                <m:t>i</m:t>
              </m:r>
              <m:r>
                <m:t>c</m:t>
              </m:r>
            </m:sub>
          </m:sSub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rPr>
                  <m:sty m:val="p"/>
                </m:rPr>
                <m:t>%</m:t>
              </m:r>
              <m:r>
                <m:rPr>
                  <m:nor/>
                  <m:sty m:val="p"/>
                </m:rPr>
                <m:t>MicrosomePB</m:t>
              </m:r>
            </m:num>
            <m:den>
              <m:r>
                <m:t>100</m:t>
              </m:r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2. Unbound intrinsic clearance at whole-body scale.</w:t>
      </w:r>
      <w:r>
        <w:t xml:space="preserve"> </w:t>
      </w:r>
      <w:r>
        <w:t xml:space="preserve">This is obtained by, first, scaling the</w:t>
      </w:r>
      <w:r>
        <w:t xml:space="preserve"> </w:t>
      </w:r>
      <w:r>
        <w:rPr>
          <w:bCs/>
          <w:b/>
        </w:rPr>
        <w:t xml:space="preserve">total</w:t>
      </w:r>
      <w:r>
        <w:t xml:space="preserve"> </w:t>
      </w:r>
      <w:r>
        <w:t xml:space="preserve">(not yet fu-corrected)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m</m:t>
            </m:r>
            <m:r>
              <m:t>i</m:t>
            </m:r>
            <m:r>
              <m:t>c</m:t>
            </m:r>
          </m:sub>
        </m:sSub>
      </m:oMath>
      <w:r>
        <w:t xml:space="preserve"> </w:t>
      </w:r>
      <w:r>
        <w:t xml:space="preserve">to a whole-body total clearance using</w:t>
      </w:r>
      <w:r>
        <w:t xml:space="preserve"> </w:t>
      </w:r>
      <w:r>
        <w:t xml:space="preserve">microsomal protein per gram of liver (MPPGL) and liver weight per kg body weight</w:t>
      </w:r>
      <w:r>
        <w:t xml:space="preserve"> </w:t>
      </w:r>
      <w:r>
        <w:t xml:space="preserve">(Obach 1999; Houston 1994)</w:t>
      </w:r>
      <w:r>
        <w:t xml:space="preserve"> </w:t>
      </w:r>
      <w:r>
        <w:t xml:space="preserve">and converting µL/min/mg protein to L/h</w:t>
      </w:r>
      <w:r>
        <w:t xml:space="preserve"> </w:t>
      </w:r>
      <w:r>
        <w:t xml:space="preserve">for the reference patient: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sSub>
            <m:e>
              <m:r>
                <m:t>L</m:t>
              </m:r>
            </m:e>
            <m:sub>
              <m:r>
                <m:t>i</m:t>
              </m:r>
              <m:r>
                <m:t>n</m:t>
              </m:r>
              <m:r>
                <m:t>t</m:t>
              </m:r>
            </m:sub>
          </m:sSub>
          <m:r>
            <m:t> </m:t>
          </m:r>
          <m:d>
            <m:dPr>
              <m:begChr m:val="["/>
              <m:endChr m:val="]"/>
              <m:sepChr m:val=""/>
              <m:grow/>
            </m:dPr>
            <m:e>
              <m:r>
                <m:rPr>
                  <m:nor/>
                  <m:sty m:val="p"/>
                </m:rPr>
                <m:t>L/h</m:t>
              </m:r>
            </m:e>
          </m:d>
          <m:r>
            <m:rPr>
              <m:sty m:val="p"/>
            </m:rPr>
            <m:t>=</m:t>
          </m:r>
          <m:r>
            <m:t>C</m:t>
          </m:r>
          <m:sSub>
            <m:e>
              <m:r>
                <m:t>L</m:t>
              </m:r>
            </m:e>
            <m:sub>
              <m:r>
                <m:t>i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t>i</m:t>
              </m:r>
              <m:r>
                <m:t>c</m:t>
              </m:r>
            </m:sub>
          </m:sSub>
          <m:r>
            <m:rPr>
              <m:sty m:val="p"/>
            </m:rPr>
            <m:t>×</m:t>
          </m:r>
          <m:sSup>
            <m:e>
              <m:r>
                <m:t>10</m:t>
              </m:r>
            </m:e>
            <m:sup>
              <m:r>
                <m:rPr>
                  <m:sty m:val="p"/>
                </m:rPr>
                <m:t>−</m:t>
              </m:r>
              <m:r>
                <m:t>6</m:t>
              </m:r>
            </m:sup>
          </m:sSup>
          <m:r>
            <m:rPr>
              <m:sty m:val="p"/>
            </m:rPr>
            <m:t>×</m:t>
          </m:r>
          <m:r>
            <m:t>60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MPPGL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LiverWeight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BW</m:t>
          </m:r>
        </m:oMath>
      </m:oMathPara>
    </w:p>
    <w:p>
      <w:pPr>
        <w:pStyle w:val="FirstParagraph"/>
      </w:pPr>
      <w:r>
        <w:t xml:space="preserve">where (see the Symbol Glossary above)</w:t>
      </w:r>
      <w:r>
        <w:t xml:space="preserve"> </w:t>
      </w:r>
      <m:oMath>
        <m:r>
          <m:rPr>
            <m:nor/>
            <m:sty m:val="p"/>
          </m:rPr>
          <m:t>MPPGL</m:t>
        </m:r>
        <m:r>
          <m:rPr>
            <m:sty m:val="p"/>
          </m:rPr>
          <m:t>=</m:t>
        </m:r>
        <m:r>
          <m:t>40</m:t>
        </m:r>
      </m:oMath>
      <w:r>
        <w:t xml:space="preserve"> </w:t>
      </w:r>
      <w:r>
        <w:t xml:space="preserve">mg protein/g liver and</w:t>
      </w:r>
      <w:r>
        <w:t xml:space="preserve"> </w:t>
      </w:r>
      <m:oMath>
        <m:r>
          <m:rPr>
            <m:nor/>
            <m:sty m:val="p"/>
          </m:rPr>
          <m:t>LiverWeight</m:t>
        </m:r>
        <m:r>
          <m:rPr>
            <m:sty m:val="p"/>
          </m:rPr>
          <m:t>=</m:t>
        </m:r>
        <m:r>
          <m:t>25.5</m:t>
        </m:r>
      </m:oMath>
      <w:r>
        <w:t xml:space="preserve"> </w:t>
      </w:r>
      <w:r>
        <w:t xml:space="preserve">g liver/kg body weight, then dividing by the same</w:t>
      </w:r>
      <w:r>
        <w:t xml:space="preserve"> </w:t>
      </w:r>
      <m:oMath>
        <m:r>
          <m:t>F</m:t>
        </m:r>
        <m:sSub>
          <m:e>
            <m:r>
              <m:t>u</m:t>
            </m:r>
          </m:e>
          <m:sub>
            <m:r>
              <m:t>m</m:t>
            </m:r>
            <m:r>
              <m:t>i</m:t>
            </m:r>
            <m:r>
              <m:t>c</m:t>
            </m:r>
          </m:sub>
        </m:sSub>
      </m:oMath>
      <w:r>
        <w:t xml:space="preserve"> </w:t>
      </w:r>
      <w:r>
        <w:t xml:space="preserve">as</w:t>
      </w:r>
      <w:r>
        <w:t xml:space="preserve"> </w:t>
      </w:r>
      <w:r>
        <w:t xml:space="preserve">step 1, to get the unbound whole-body intrinsic clearance. This reuses a single</w:t>
      </w:r>
      <w:r>
        <w:t xml:space="preserve"> </w:t>
      </w:r>
      <m:oMath>
        <m:r>
          <m:t>F</m:t>
        </m:r>
        <m:sSub>
          <m:e>
            <m:r>
              <m:t>u</m:t>
            </m:r>
          </m:e>
          <m:sub>
            <m:r>
              <m:t>m</m:t>
            </m:r>
            <m:r>
              <m:t>i</m:t>
            </m:r>
            <m:r>
              <m:t>c</m:t>
            </m:r>
          </m:sub>
        </m:sSub>
      </m:oMath>
      <w:r>
        <w:t xml:space="preserve">,</w:t>
      </w:r>
      <w:r>
        <w:t xml:space="preserve"> </w:t>
      </w:r>
      <w:r>
        <w:t xml:space="preserve">measured once in the in vitro incubation, for both steps - implicitly assuming that fraction</w:t>
      </w:r>
      <w:r>
        <w:t xml:space="preserve"> </w:t>
      </w:r>
      <w:r>
        <w:t xml:space="preserve">unbound also holds for the liver’s own microsomal protein environment, not just the assay’s: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sSub>
            <m:e>
              <m:r>
                <m:t>L</m:t>
              </m:r>
            </m:e>
            <m:sub>
              <m:r>
                <m:t>i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u</m:t>
              </m:r>
            </m:sub>
          </m:sSub>
          <m:r>
            <m:t> </m:t>
          </m:r>
          <m:d>
            <m:dPr>
              <m:begChr m:val="["/>
              <m:endChr m:val="]"/>
              <m:sepChr m:val=""/>
              <m:grow/>
            </m:dPr>
            <m:e>
              <m:r>
                <m:rPr>
                  <m:nor/>
                  <m:sty m:val="p"/>
                </m:rPr>
                <m:t>L/h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n</m:t>
                  </m:r>
                  <m:r>
                    <m:t>t</m:t>
                  </m:r>
                </m:sub>
              </m:sSub>
              <m:r>
                <m:t> 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rPr>
                      <m:nor/>
                      <m:sty m:val="p"/>
                    </m:rPr>
                    <m:t>L/h</m:t>
                  </m:r>
                </m:e>
              </m:d>
            </m:num>
            <m:den>
              <m:r>
                <m:t>F</m:t>
              </m:r>
              <m:sSub>
                <m:e>
                  <m:r>
                    <m:t>u</m:t>
                  </m:r>
                </m:e>
                <m:sub>
                  <m:r>
                    <m:t>m</m:t>
                  </m:r>
                  <m:r>
                    <m:t>i</m:t>
                  </m:r>
                  <m:r>
                    <m:t>c</m:t>
                  </m:r>
                </m:sub>
              </m:sSub>
            </m:den>
          </m:f>
        </m:oMath>
      </m:oMathPara>
    </w:p>
    <w:p>
      <w:pPr>
        <w:pStyle w:val="FirstParagraph"/>
      </w:pPr>
      <w:r>
        <w:t xml:space="preserve">converted to mL/min/kg for reporting and for the hepatic extraction model below: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sSub>
            <m:e>
              <m:r>
                <m:t>L</m:t>
              </m:r>
            </m:e>
            <m:sub>
              <m:r>
                <m:t>i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u</m:t>
              </m:r>
            </m:sub>
          </m:sSub>
          <m:r>
            <m:t> </m:t>
          </m:r>
          <m:d>
            <m:dPr>
              <m:begChr m:val="["/>
              <m:endChr m:val="]"/>
              <m:sepChr m:val=""/>
              <m:grow/>
            </m:dPr>
            <m:e>
              <m:r>
                <m:rPr>
                  <m:nor/>
                  <m:sty m:val="p"/>
                </m:rPr>
                <m:t>mL/min/kg</m:t>
              </m:r>
            </m:e>
          </m:d>
          <m:r>
            <m:rPr>
              <m:sty m:val="p"/>
            </m:rPr>
            <m:t>=</m:t>
          </m:r>
          <m:r>
            <m:t>C</m:t>
          </m:r>
          <m:sSub>
            <m:e>
              <m:r>
                <m:t>L</m:t>
              </m:r>
            </m:e>
            <m:sub>
              <m:r>
                <m:t>i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u</m:t>
              </m:r>
            </m:sub>
          </m:sSub>
          <m:r>
            <m:t> </m:t>
          </m:r>
          <m:d>
            <m:dPr>
              <m:begChr m:val="["/>
              <m:endChr m:val="]"/>
              <m:sepChr m:val=""/>
              <m:grow/>
            </m:dPr>
            <m:e>
              <m:r>
                <m:rPr>
                  <m:nor/>
                  <m:sty m:val="p"/>
                </m:rPr>
                <m:t>L/h</m:t>
              </m:r>
            </m:e>
          </m:d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1000</m:t>
              </m:r>
            </m:num>
            <m:den>
              <m:r>
                <m:t>60</m:t>
              </m:r>
              <m:r>
                <m:rPr>
                  <m:sty m:val="p"/>
                </m:rPr>
                <m:t>×</m:t>
              </m:r>
              <m:r>
                <m:rPr>
                  <m:nor/>
                  <m:sty m:val="p"/>
                </m:rPr>
                <m:t>BW</m:t>
              </m:r>
            </m:den>
          </m:f>
        </m:oMath>
      </m:oMathPara>
    </w:p>
    <w:p>
      <w:pPr>
        <w:pStyle w:val="FirstParagraph"/>
      </w:pPr>
      <w:r>
        <w:t xml:space="preserve">reported in the app as</w:t>
      </w:r>
      <w:r>
        <w:t xml:space="preserve"> </w:t>
      </w:r>
      <w:r>
        <w:t xml:space="preserve">“</w:t>
      </w:r>
      <w:r>
        <w:t xml:space="preserve">Human CL,u (mL/min/kg)</w:t>
      </w:r>
      <w:r>
        <w:t xml:space="preserve">”</w:t>
      </w:r>
      <w:r>
        <w:t xml:space="preserve">. It is this whole-body value,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  <w:r>
        <w:t xml:space="preserve">, that</w:t>
      </w:r>
      <w:r>
        <w:t xml:space="preserve"> </w:t>
      </w:r>
      <w:r>
        <w:t xml:space="preserve">feeds the hepatic extraction model in the next section.</w:t>
      </w:r>
    </w:p>
    <w:bookmarkEnd w:id="85"/>
    <w:bookmarkStart w:id="86" w:name="volume-of-distribution-vssu"/>
    <w:p>
      <w:pPr>
        <w:pStyle w:val="Heading2"/>
      </w:pPr>
      <w:r>
        <w:rPr>
          <w:rStyle w:val="SectionNumber"/>
        </w:rPr>
        <w:t xml:space="preserve">2.3</w:t>
      </w:r>
      <w:r>
        <w:tab/>
      </w:r>
      <w:r>
        <w:t xml:space="preserve">Volume of Distribution (Vss</w:t>
      </w:r>
      <w:r>
        <w:rPr>
          <w:vertAlign w:val="subscript"/>
        </w:rPr>
        <w:t xml:space="preserve">u</w:t>
      </w:r>
      <w:r>
        <w:t xml:space="preserve">)</w:t>
      </w:r>
    </w:p>
    <w:p>
      <w:pPr>
        <w:pStyle w:val="FirstParagraph"/>
      </w:pPr>
      <w:r>
        <w:t xml:space="preserve">Two independent unbound</w:t>
      </w:r>
      <w:r>
        <w:t xml:space="preserve"> </w:t>
      </w:r>
      <m:oMath>
        <m:r>
          <m:t>V</m:t>
        </m:r>
        <m:r>
          <m:t>s</m:t>
        </m:r>
        <m:sSub>
          <m:e>
            <m:r>
              <m:t>s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estimates are used per compound, both scaled to the 55 kg</w:t>
      </w:r>
      <w:r>
        <w:t xml:space="preserve"> </w:t>
      </w:r>
      <w:r>
        <w:t xml:space="preserve">reference body weight: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 silico</w:t>
      </w:r>
      <w:r>
        <w:t xml:space="preserve">: a relay-predicted human unbound</w:t>
      </w:r>
      <w:r>
        <w:t xml:space="preserve"> </w:t>
      </w:r>
      <m:oMath>
        <m:r>
          <m:t>V</m:t>
        </m:r>
        <m:r>
          <m:t>s</m:t>
        </m:r>
        <m:sSub>
          <m:e>
            <m:r>
              <m:t>s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per kg - not computed by MMVFree</w:t>
      </w:r>
      <w:r>
        <w:t xml:space="preserve"> </w:t>
      </w:r>
      <w:r>
        <w:t xml:space="preserve">itself, but an input value typically populated from Science Cloud, or entered manually.</w:t>
      </w:r>
      <w:r>
        <w:t xml:space="preserve"> </w:t>
      </w:r>
      <w:r>
        <w:t xml:space="preserve">It’s scaled directly by body weight; since the input is already unbound, no further fu</w:t>
      </w:r>
      <w:r>
        <w:t xml:space="preserve"> </w:t>
      </w:r>
      <w:r>
        <w:t xml:space="preserve">correction is needed here.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 vivo</w:t>
      </w:r>
      <w:r>
        <w:t xml:space="preserve">: allometrically scaled by MMVFree from a</w:t>
      </w:r>
      <w:r>
        <w:t xml:space="preserve"> </w:t>
      </w:r>
      <w:r>
        <w:rPr>
          <w:iCs/>
          <w:i/>
        </w:rPr>
        <w:t xml:space="preserve">measured</w:t>
      </w:r>
      <w:r>
        <w:t xml:space="preserve"> </w:t>
      </w:r>
      <w:r>
        <w:t xml:space="preserve">rat volume of distribution,</w:t>
      </w:r>
      <w:r>
        <w:t xml:space="preserve"> </w:t>
      </w:r>
      <m:oMath>
        <m:r>
          <m:t>V</m:t>
        </m:r>
        <m:r>
          <m:t>s</m:t>
        </m:r>
        <m:sSub>
          <m:e>
            <m:r>
              <m:t>s</m:t>
            </m:r>
          </m:e>
          <m:sub>
            <m:r>
              <m:t>R</m:t>
            </m:r>
          </m:sub>
        </m:sSub>
      </m:oMath>
      <w:r>
        <w:t xml:space="preserve"> </w:t>
      </w:r>
      <w:r>
        <w:t xml:space="preserve">(the</w:t>
      </w:r>
      <w:r>
        <w:t xml:space="preserve"> </w:t>
      </w:r>
      <w:r>
        <w:t xml:space="preserve">conventional, total volume of distribution, in the plasma matrix), correcting for rat plasma</w:t>
      </w:r>
      <w:r>
        <w:t xml:space="preserve"> </w:t>
      </w:r>
      <w:r>
        <w:t xml:space="preserve">protein binding to convert it to the same unbound form as the in silico estimate:</w:t>
      </w:r>
    </w:p>
    <w:p>
      <w:pPr>
        <w:pStyle w:val="FirstParagraph"/>
      </w:pPr>
      <m:oMathPara>
        <m:oMathParaPr>
          <m:jc m:val="center"/>
        </m:oMathParaPr>
        <m:oMath>
          <m:r>
            <m:t>V</m:t>
          </m:r>
          <m:r>
            <m:t>s</m:t>
          </m:r>
          <m:sSub>
            <m:e>
              <m:r>
                <m:t>s</m:t>
              </m:r>
            </m:e>
            <m:sub>
              <m:r>
                <m:t>u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in vivo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V</m:t>
              </m:r>
              <m:r>
                <m:t>s</m:t>
              </m:r>
              <m:sSub>
                <m:e>
                  <m:r>
                    <m:t>s</m:t>
                  </m:r>
                </m:e>
                <m:sub>
                  <m:r>
                    <m:t>R</m:t>
                  </m:r>
                </m:sub>
              </m:sSub>
              <m:r>
                <m:t> 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rPr>
                      <m:nor/>
                      <m:sty m:val="p"/>
                    </m:rPr>
                    <m:t>L/kg</m:t>
                  </m:r>
                </m:e>
              </m:d>
            </m:num>
            <m:den>
              <m:r>
                <m:t>F</m:t>
              </m:r>
              <m:sSub>
                <m:e>
                  <m:r>
                    <m:t>u</m:t>
                  </m:r>
                </m:e>
                <m:sub>
                  <m:r>
                    <m:t>p</m:t>
                  </m:r>
                  <m:r>
                    <m:t>l</m:t>
                  </m:r>
                  <m:r>
                    <m:t>a</m:t>
                  </m:r>
                  <m:r>
                    <m:t>s</m:t>
                  </m:r>
                  <m:r>
                    <m:t>m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R</m:t>
                  </m:r>
                </m:sub>
              </m:sSub>
            </m:den>
          </m:f>
          <m:r>
            <m:rPr>
              <m:sty m:val="p"/>
            </m:rPr>
            <m:t>×</m:t>
          </m:r>
          <m:r>
            <m:rPr>
              <m:nor/>
              <m:sty m:val="p"/>
            </m:rPr>
            <m:t>BW</m:t>
          </m:r>
        </m:oMath>
      </m:oMathPara>
    </w:p>
    <w:p>
      <w:pPr>
        <w:pStyle w:val="FirstParagraph"/>
      </w:pPr>
      <w:r>
        <w:t xml:space="preserve">Every downstream parameter that depends on</w:t>
      </w:r>
      <w:r>
        <w:t xml:space="preserve"> </w:t>
      </w:r>
      <m:oMath>
        <m:r>
          <m:t>V</m:t>
        </m:r>
        <m:r>
          <m:t>s</m:t>
        </m:r>
        <m:sSub>
          <m:e>
            <m:r>
              <m:t>s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(elimination rate, half-life, dose) is</w:t>
      </w:r>
      <w:r>
        <w:t xml:space="preserve"> </w:t>
      </w:r>
      <w:r>
        <w:t xml:space="preserve">therefore computed twice per compound - once from each estimate - and both are shown on separate rows</w:t>
      </w:r>
      <w:r>
        <w:t xml:space="preserve"> </w:t>
      </w:r>
      <w:r>
        <w:t xml:space="preserve">in the app’s output tables, labelled by</w:t>
      </w:r>
      <w:r>
        <w:t xml:space="preserve"> </w:t>
      </w:r>
      <w:r>
        <w:t xml:space="preserve">“</w:t>
      </w:r>
      <w:r>
        <w:t xml:space="preserve">Vss source</w:t>
      </w:r>
      <w:r>
        <w:t xml:space="preserve">”</w:t>
      </w:r>
      <w:r>
        <w:t xml:space="preserve">.</w:t>
      </w:r>
    </w:p>
    <w:bookmarkEnd w:id="86"/>
    <w:bookmarkStart w:id="90" w:name="Xcd6bf25e93d2143a813eaf2e5142047981cb8ff"/>
    <w:p>
      <w:pPr>
        <w:pStyle w:val="Heading2"/>
      </w:pPr>
      <w:r>
        <w:rPr>
          <w:rStyle w:val="SectionNumber"/>
        </w:rPr>
        <w:t xml:space="preserve">2.4</w:t>
      </w:r>
      <w:r>
        <w:tab/>
      </w:r>
      <w:r>
        <w:t xml:space="preserve">Hepatic Extraction and Bioavailability (F</w:t>
      </w:r>
      <w:r>
        <w:rPr>
          <w:vertAlign w:val="subscript"/>
        </w:rPr>
        <w:t xml:space="preserve">h</w:t>
      </w:r>
      <w:r>
        <w:t xml:space="preserve">)</w:t>
      </w:r>
    </w:p>
    <w:bookmarkStart w:id="87" w:name="the-well-stirred-model"/>
    <w:p>
      <w:pPr>
        <w:pStyle w:val="Heading3"/>
      </w:pPr>
      <w:r>
        <w:rPr>
          <w:rStyle w:val="SectionNumber"/>
        </w:rPr>
        <w:t xml:space="preserve">2.4.1</w:t>
      </w:r>
      <w:r>
        <w:tab/>
      </w:r>
      <w:r>
        <w:t xml:space="preserve">The Well-Stirred Model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well-stirred liver model</w:t>
      </w:r>
      <w:r>
        <w:t xml:space="preserve"> </w:t>
      </w:r>
      <w:r>
        <w:t xml:space="preserve">(also called the venous equilibration model) is the standard way</w:t>
      </w:r>
      <w:r>
        <w:t xml:space="preserve"> </w:t>
      </w:r>
      <w:r>
        <w:t xml:space="preserve">to describe hepatic drug elimination, treating the liver as a single, well-mixed compartment</w:t>
      </w:r>
      <w:r>
        <w:t xml:space="preserve"> </w:t>
      </w:r>
      <w:r>
        <w:t xml:space="preserve">(Rowland, Benet, and Graham 1973)</w:t>
      </w:r>
      <w:r>
        <w:t xml:space="preserve">. It rests on three assumptions: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Instantaneous mixing</w:t>
      </w:r>
      <w:r>
        <w:t xml:space="preserve">: blood entering the liver is immediately and perfectly mixed with</w:t>
      </w:r>
      <w:r>
        <w:t xml:space="preserve"> </w:t>
      </w:r>
      <w:r>
        <w:t xml:space="preserve">liver tissue, so the drug concentration throughout the liver equals the concentration in the</w:t>
      </w:r>
      <w:r>
        <w:t xml:space="preserve"> </w:t>
      </w:r>
      <w:r>
        <w:t xml:space="preserve">emerging hepatic vein,</w:t>
      </w:r>
      <w:r>
        <w:t xml:space="preserve"> </w:t>
      </w:r>
      <m:oMath>
        <m:sSub>
          <m:e>
            <m:r>
              <m:t>C</m:t>
            </m:r>
          </m:e>
          <m:sub>
            <m:r>
              <m:t>o</m:t>
            </m:r>
            <m:r>
              <m:t>u</m:t>
            </m:r>
            <m:r>
              <m:t>t</m:t>
            </m:r>
          </m:sub>
        </m:sSub>
      </m:oMath>
      <w:r>
        <w:t xml:space="preserve">. This requires reasonable membrane permeability and no</w:t>
      </w:r>
      <w:r>
        <w:t xml:space="preserve"> </w:t>
      </w:r>
      <w:r>
        <w:t xml:space="preserve">significant role of hepatic efflux transporters.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Only unbound drug is eliminated</w:t>
      </w:r>
      <w:r>
        <w:t xml:space="preserve">: entry into hepatocytes is not rate-limiting; only unbound</w:t>
      </w:r>
      <w:r>
        <w:t xml:space="preserve"> </w:t>
      </w:r>
      <w:r>
        <w:t xml:space="preserve">(free) drug can cross the hepatocyte membrane to reach the metabolizing enzymes.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Linear kinetics</w:t>
      </w:r>
      <w:r>
        <w:t xml:space="preserve">: elimination is first-order, so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  <w:r>
        <w:t xml:space="preserve"> </w:t>
      </w:r>
      <w:r>
        <w:t xml:space="preserve">is constant regardless of</w:t>
      </w:r>
      <w:r>
        <w:t xml:space="preserve"> </w:t>
      </w:r>
      <w:r>
        <w:t xml:space="preserve">drug concentration.</w:t>
      </w:r>
    </w:p>
    <w:p>
      <w:pPr>
        <w:pStyle w:val="FirstParagraph"/>
      </w:pPr>
      <w:r>
        <w:t xml:space="preserve">Note: for low-clearance compounds, the well-stirred model is equivalent to other liver models.</w:t>
      </w:r>
      <w:r>
        <w:t xml:space="preserve"> </w:t>
      </w:r>
      <w:r>
        <w:t xml:space="preserve">Hepatic metabolism is treated as the only clearance mechanism considered.</w:t>
      </w:r>
    </w:p>
    <w:p>
      <w:pPr>
        <w:pStyle w:val="BodyText"/>
      </w:pPr>
      <w:r>
        <w:rPr>
          <w:bCs/>
          <w:b/>
        </w:rPr>
        <w:t xml:space="preserve">A note on notation.</w:t>
      </w:r>
      <w:r>
        <w:t xml:space="preserve"> </w:t>
      </w:r>
      <w:r>
        <w:t xml:space="preserve">Textbook derivations of the well-stirred model are usually written in</w:t>
      </w:r>
      <w:r>
        <w:t xml:space="preserve"> </w:t>
      </w:r>
      <w:r>
        <w:t xml:space="preserve">terms of a generic clearance term, often just labelled</w:t>
      </w:r>
      <w:r>
        <w:t xml:space="preserve"> </w:t>
      </w:r>
      <w:r>
        <w:t xml:space="preserve">“</w:t>
      </w:r>
      <w:r>
        <w:t xml:space="preserve">CL</w:t>
      </w:r>
      <w:r>
        <w:t xml:space="preserve">”</w:t>
      </w:r>
      <w:r>
        <w:t xml:space="preserve"> </w:t>
      </w:r>
      <w:r>
        <w:t xml:space="preserve">- but what actually enters this</w:t>
      </w:r>
      <w:r>
        <w:t xml:space="preserve"> </w:t>
      </w:r>
      <w:r>
        <w:t xml:space="preserve">derivation is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  <w:r>
        <w:t xml:space="preserve">, the</w:t>
      </w:r>
      <w:r>
        <w:t xml:space="preserve"> </w:t>
      </w:r>
      <w:r>
        <w:rPr>
          <w:iCs/>
          <w:i/>
        </w:rPr>
        <w:t xml:space="preserve">unbound intrinsic</w:t>
      </w:r>
      <w:r>
        <w:t xml:space="preserve"> </w:t>
      </w:r>
      <w:r>
        <w:t xml:space="preserve">clearance derived above</w:t>
      </w:r>
      <w:r>
        <w:t xml:space="preserve"> </w:t>
      </w:r>
      <w:r>
        <w:t xml:space="preserve">(</w:t>
      </w:r>
      <w:r>
        <w:t xml:space="preserve">2.2</w:t>
      </w:r>
      <w:r>
        <w:t xml:space="preserve">): the enzymes’ own capacity to remove unbound drug,</w:t>
      </w:r>
      <w:r>
        <w:t xml:space="preserve"> </w:t>
      </w:r>
      <w:r>
        <w:t xml:space="preserve">independent of blood flow or protein binding.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p</m:t>
            </m:r>
            <m:r>
              <m:t>l</m:t>
            </m:r>
            <m:r>
              <m:t>a</m:t>
            </m:r>
            <m:r>
              <m:t>s</m:t>
            </m:r>
            <m:r>
              <m:t>m</m:t>
            </m:r>
            <m:r>
              <m:t>a</m:t>
            </m:r>
          </m:sub>
        </m:sSub>
      </m:oMath>
      <w:r>
        <w:t xml:space="preserve">, derived below, are the</w:t>
      </w:r>
      <w:r>
        <w:t xml:space="preserve"> </w:t>
      </w:r>
      <w:r>
        <w:t xml:space="preserve">whole-organ clearances that come</w:t>
      </w:r>
      <w:r>
        <w:t xml:space="preserve"> </w:t>
      </w:r>
      <w:r>
        <w:rPr>
          <w:iCs/>
          <w:i/>
        </w:rPr>
        <w:t xml:space="preserve">out</w:t>
      </w:r>
      <w:r>
        <w:t xml:space="preserve"> </w:t>
      </w:r>
      <w:r>
        <w:t xml:space="preserve">of this derivation - conceptually downstream of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  <w:r>
        <w:t xml:space="preserve">, not the same quantity as it.</w:t>
      </w:r>
    </w:p>
    <w:p>
      <w:pPr>
        <w:pStyle w:val="BodyText"/>
      </w:pPr>
      <w:r>
        <w:rPr>
          <w:bCs/>
          <w:b/>
        </w:rPr>
        <w:t xml:space="preserve">Deriving the extraction ratio.</w:t>
      </w:r>
      <w:r>
        <w:t xml:space="preserve"> </w:t>
      </w:r>
      <w:r>
        <w:t xml:space="preserve">The hepatic extraction ratio,</w:t>
      </w:r>
      <w:r>
        <w:t xml:space="preserve"> </w:t>
      </w:r>
      <m:oMath>
        <m:sSub>
          <m:e>
            <m:r>
              <m:t>E</m:t>
            </m:r>
          </m:e>
          <m:sub>
            <m:r>
              <m:t>H</m:t>
            </m:r>
          </m:sub>
        </m:sSub>
      </m:oMath>
      <w:r>
        <w:t xml:space="preserve">, is the fraction of drug</w:t>
      </w:r>
      <w:r>
        <w:t xml:space="preserve"> </w:t>
      </w:r>
      <w:r>
        <w:t xml:space="preserve">removed from the blood during a single pass through the liver, defined directly from the</w:t>
      </w:r>
      <w:r>
        <w:t xml:space="preserve"> </w:t>
      </w:r>
      <w:r>
        <w:t xml:space="preserve">concentrations entering and leaving the organ,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  <m:r>
              <m:t>n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C</m:t>
            </m:r>
          </m:e>
          <m:sub>
            <m:r>
              <m:t>o</m:t>
            </m:r>
            <m:r>
              <m:t>u</m:t>
            </m:r>
            <m:r>
              <m:t>t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H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C</m:t>
                  </m:r>
                </m:e>
                <m:sub>
                  <m:r>
                    <m:t>i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C</m:t>
                  </m:r>
                </m:e>
                <m:sub>
                  <m:r>
                    <m:t>o</m:t>
                  </m:r>
                  <m:r>
                    <m:t>u</m:t>
                  </m:r>
                  <m:r>
                    <m:t>t</m:t>
                  </m:r>
                </m:sub>
              </m:sSub>
            </m:num>
            <m:den>
              <m:sSub>
                <m:e>
                  <m:r>
                    <m:t>C</m:t>
                  </m:r>
                </m:e>
                <m:sub>
                  <m:r>
                    <m:t>i</m:t>
                  </m:r>
                  <m:r>
                    <m:t>n</m:t>
                  </m:r>
                </m:sub>
              </m:sSub>
            </m:den>
          </m:f>
        </m:oMath>
      </m:oMathPara>
    </w:p>
    <w:p>
      <w:pPr>
        <w:pStyle w:val="FirstParagraph"/>
      </w:pPr>
      <w:r>
        <w:t xml:space="preserve">To connect this basic definition to</w:t>
      </w:r>
      <w:r>
        <w:t xml:space="preserve"> </w:t>
      </w:r>
      <m:oMath>
        <m:r>
          <m:t>F</m:t>
        </m:r>
        <m:sSub>
          <m:e>
            <m:r>
              <m:t>u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  <w:r>
        <w:t xml:space="preserve">, apply mass balance together with</w:t>
      </w:r>
      <w:r>
        <w:t xml:space="preserve"> </w:t>
      </w:r>
      <w:r>
        <w:t xml:space="preserve">the well-stirred assumption: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Mass balance</w:t>
      </w:r>
      <w:r>
        <w:t xml:space="preserve">: the rate of drug entering the liver equals the rate leaving plus the rate</w:t>
      </w:r>
      <w:r>
        <w:t xml:space="preserve"> </w:t>
      </w:r>
      <w:r>
        <w:t xml:space="preserve">eliminated inside it</w:t>
      </w:r>
      <w:r>
        <w:t xml:space="preserve"> </w:t>
      </w:r>
      <w:r>
        <w:t xml:space="preserve">(Rowland and Tozer 2022)</w:t>
      </w:r>
      <w:r>
        <w:t xml:space="preserve">:</w:t>
      </w:r>
    </w:p>
    <w:p>
      <w:pPr>
        <w:pStyle w:val="Compact"/>
      </w:pPr>
      <m:oMathPara>
        <m:oMathParaPr>
          <m:jc m:val="center"/>
        </m:oMathParaPr>
        <m:oMath>
          <m:sSub>
            <m:e>
              <m:r>
                <m:t>Q</m:t>
              </m:r>
            </m:e>
            <m:sub>
              <m:r>
                <m:t>h</m:t>
              </m:r>
            </m:sub>
          </m:sSub>
          <m:r>
            <m:rPr>
              <m:sty m:val="p"/>
            </m:rPr>
            <m:t>⋅</m:t>
          </m:r>
          <m:sSub>
            <m:e>
              <m:r>
                <m:t>C</m:t>
              </m:r>
            </m:e>
            <m:sub>
              <m:r>
                <m:t>i</m:t>
              </m:r>
              <m:r>
                <m:t>n</m:t>
              </m:r>
            </m:sub>
          </m:sSub>
          <m:r>
            <m:rPr>
              <m:sty m:val="p"/>
            </m:rPr>
            <m:t>=</m:t>
          </m:r>
          <m:sSub>
            <m:e>
              <m:r>
                <m:t>Q</m:t>
              </m:r>
            </m:e>
            <m:sub>
              <m:r>
                <m:t>h</m:t>
              </m:r>
            </m:sub>
          </m:sSub>
          <m:r>
            <m:rPr>
              <m:sty m:val="p"/>
            </m:rPr>
            <m:t>⋅</m:t>
          </m:r>
          <m:sSub>
            <m:e>
              <m:r>
                <m:t>C</m:t>
              </m:r>
            </m:e>
            <m:sub>
              <m:r>
                <m:t>o</m:t>
              </m:r>
              <m:r>
                <m:t>u</m:t>
              </m:r>
              <m:r>
                <m:t>t</m:t>
              </m:r>
            </m:sub>
          </m:sSub>
          <m:r>
            <m:rPr>
              <m:sty m:val="p"/>
            </m:rPr>
            <m:t>+</m:t>
          </m:r>
          <m:r>
            <m:rPr>
              <m:nor/>
              <m:sty m:val="p"/>
            </m:rPr>
            <m:t>Rate of elimination</m:t>
          </m:r>
          <m:r>
            <m:t> </m:t>
          </m:r>
          <m:r>
            <m:rPr>
              <m:sty m:val="p"/>
            </m:rPr>
            <m:t>⇒</m:t>
          </m:r>
          <m:r>
            <m:t> </m:t>
          </m:r>
          <m:r>
            <m:rPr>
              <m:nor/>
              <m:sty m:val="p"/>
            </m:rPr>
            <m:t>Rate of elimination</m:t>
          </m:r>
          <m:r>
            <m:rPr>
              <m:sty m:val="p"/>
            </m:rPr>
            <m:t>=</m:t>
          </m:r>
          <m:sSub>
            <m:e>
              <m:r>
                <m:t>Q</m:t>
              </m:r>
            </m:e>
            <m:sub>
              <m:r>
                <m:t>h</m:t>
              </m:r>
            </m:sub>
          </m:sSub>
          <m:r>
            <m:rPr>
              <m:sty m:val="p"/>
            </m:rPr>
            <m:t>⋅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C</m:t>
                  </m:r>
                </m:e>
                <m:sub>
                  <m:r>
                    <m:t>i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C</m:t>
                  </m:r>
                </m:e>
                <m:sub>
                  <m:r>
                    <m:t>o</m:t>
                  </m:r>
                  <m:r>
                    <m:t>u</m:t>
                  </m:r>
                  <m:r>
                    <m:t>t</m:t>
                  </m:r>
                </m:sub>
              </m:sSub>
            </m:e>
          </m:d>
        </m:oMath>
      </m:oMathPara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Enzymatic rate</w:t>
      </w:r>
      <w:r>
        <w:t xml:space="preserve">: only unbound drug is eliminated, at a rate set by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  <w:r>
        <w:t xml:space="preserve"> </w:t>
      </w:r>
      <w:r>
        <w:t xml:space="preserve">and the</w:t>
      </w:r>
      <w:r>
        <w:t xml:space="preserve"> </w:t>
      </w:r>
      <w:r>
        <w:t xml:space="preserve">unbound concentration at the enzyme site,</w:t>
      </w:r>
      <w:r>
        <w:t xml:space="preserve"> </w:t>
      </w:r>
      <m:oMath>
        <m:sSub>
          <m:e>
            <m:r>
              <m:t>C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l</m:t>
            </m:r>
            <m:r>
              <m:t>i</m:t>
            </m:r>
            <m:r>
              <m:t>v</m:t>
            </m:r>
            <m:r>
              <m:t>e</m:t>
            </m:r>
            <m:r>
              <m:t>r</m:t>
            </m:r>
          </m:sub>
        </m:sSub>
      </m:oMath>
      <w:r>
        <w:t xml:space="preserve">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nor/>
              <m:sty m:val="p"/>
            </m:rPr>
            <m:t>Rate of elimination</m:t>
          </m:r>
          <m:r>
            <m:rPr>
              <m:sty m:val="p"/>
            </m:rPr>
            <m:t>=</m:t>
          </m:r>
          <m:r>
            <m:t>C</m:t>
          </m:r>
          <m:sSub>
            <m:e>
              <m:r>
                <m:t>L</m:t>
              </m:r>
            </m:e>
            <m:sub>
              <m:r>
                <m:t>i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u</m:t>
              </m:r>
            </m:sub>
          </m:sSub>
          <m:r>
            <m:rPr>
              <m:sty m:val="p"/>
            </m:rPr>
            <m:t>⋅</m:t>
          </m:r>
          <m:sSub>
            <m:e>
              <m:r>
                <m:t>C</m:t>
              </m:r>
            </m:e>
            <m:sub>
              <m:r>
                <m:t>u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t>i</m:t>
              </m:r>
              <m:r>
                <m:t>v</m:t>
              </m:r>
              <m:r>
                <m:t>e</m:t>
              </m:r>
              <m:r>
                <m:t>r</m:t>
              </m:r>
            </m:sub>
          </m:sSub>
        </m:oMath>
      </m:oMathPara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Well-stirred assumption</w:t>
      </w:r>
      <w:r>
        <w:t xml:space="preserve">:</w:t>
      </w:r>
      <w:r>
        <w:t xml:space="preserve"> </w:t>
      </w:r>
      <m:oMath>
        <m:sSub>
          <m:e>
            <m:r>
              <m:t>C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l</m:t>
            </m:r>
            <m:r>
              <m:t>i</m:t>
            </m:r>
            <m:r>
              <m:t>v</m:t>
            </m:r>
            <m:r>
              <m:t>e</m:t>
            </m:r>
            <m:r>
              <m:t>r</m:t>
            </m:r>
          </m:sub>
        </m:sSub>
      </m:oMath>
      <w:r>
        <w:t xml:space="preserve"> </w:t>
      </w:r>
      <w:r>
        <w:t xml:space="preserve">is in instantaneous equilibrium with the unbound</w:t>
      </w:r>
      <w:r>
        <w:t xml:space="preserve"> </w:t>
      </w:r>
      <w:r>
        <w:t xml:space="preserve">concentration in the exiting blood,</w:t>
      </w:r>
      <w:r>
        <w:t xml:space="preserve"> </w:t>
      </w:r>
      <m:oMath>
        <m:sSub>
          <m:e>
            <m:r>
              <m:t>C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l</m:t>
            </m:r>
            <m:r>
              <m:t>i</m:t>
            </m:r>
            <m:r>
              <m:t>v</m:t>
            </m:r>
            <m:r>
              <m:t>e</m:t>
            </m:r>
            <m:r>
              <m:t>r</m:t>
            </m:r>
          </m:sub>
        </m:sSub>
        <m:r>
          <m:rPr>
            <m:sty m:val="p"/>
          </m:rPr>
          <m:t>=</m:t>
        </m:r>
        <m:r>
          <m:t>F</m:t>
        </m:r>
        <m:sSub>
          <m:e>
            <m:r>
              <m:t>u</m:t>
            </m:r>
          </m:e>
          <m:sub>
            <m:r>
              <m:t>b</m:t>
            </m:r>
          </m:sub>
        </m:sSub>
        <m:r>
          <m:rPr>
            <m:sty m:val="p"/>
          </m:rPr>
          <m:t>⋅</m:t>
        </m:r>
        <m:sSub>
          <m:e>
            <m:r>
              <m:t>C</m:t>
            </m:r>
          </m:e>
          <m:sub>
            <m:r>
              <m:t>o</m:t>
            </m:r>
            <m:r>
              <m:t>u</m:t>
            </m:r>
            <m:r>
              <m:t>t</m:t>
            </m:r>
          </m:sub>
        </m:sSub>
      </m:oMath>
      <w:r>
        <w:t xml:space="preserve">, so: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nor/>
              <m:sty m:val="p"/>
            </m:rPr>
            <m:t>Rate of elimination</m:t>
          </m:r>
          <m:r>
            <m:rPr>
              <m:sty m:val="p"/>
            </m:rPr>
            <m:t>=</m:t>
          </m:r>
          <m:r>
            <m:t>F</m:t>
          </m:r>
          <m:sSub>
            <m:e>
              <m:r>
                <m:t>u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⋅</m:t>
          </m:r>
          <m:r>
            <m:t>C</m:t>
          </m:r>
          <m:sSub>
            <m:e>
              <m:r>
                <m:t>L</m:t>
              </m:r>
            </m:e>
            <m:sub>
              <m:r>
                <m:t>i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u</m:t>
              </m:r>
            </m:sub>
          </m:sSub>
          <m:r>
            <m:rPr>
              <m:sty m:val="p"/>
            </m:rPr>
            <m:t>⋅</m:t>
          </m:r>
          <m:sSub>
            <m:e>
              <m:r>
                <m:t>C</m:t>
              </m:r>
            </m:e>
            <m:sub>
              <m:r>
                <m:t>o</m:t>
              </m:r>
              <m:r>
                <m:t>u</m:t>
              </m:r>
              <m:r>
                <m:t>t</m:t>
              </m:r>
            </m:sub>
          </m:sSub>
        </m:oMath>
      </m:oMathPara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Solve for</w:t>
      </w:r>
      <w:r>
        <w:rPr>
          <w:bCs/>
          <w:b/>
        </w:rPr>
        <w:t xml:space="preserve"> </w:t>
      </w:r>
      <m:oMath>
        <m:sSub>
          <m:e>
            <m:r>
              <m:t>E</m:t>
            </m:r>
          </m:e>
          <m:sub>
            <m:r>
              <m:t>H</m:t>
            </m:r>
          </m:sub>
        </m:sSub>
      </m:oMath>
      <w:r>
        <w:t xml:space="preserve">: the two expressions for the rate of elimination (steps 1 and 3) describe</w:t>
      </w:r>
      <w:r>
        <w:t xml:space="preserve"> </w:t>
      </w:r>
      <w:r>
        <w:t xml:space="preserve">the same thing, so they’re equal:</w:t>
      </w:r>
    </w:p>
    <w:p>
      <w:pPr>
        <w:pStyle w:val="Compact"/>
      </w:pPr>
      <m:oMathPara>
        <m:oMathParaPr>
          <m:jc m:val="center"/>
        </m:oMathParaPr>
        <m:oMath>
          <m:sSub>
            <m:e>
              <m:r>
                <m:t>Q</m:t>
              </m:r>
            </m:e>
            <m:sub>
              <m:r>
                <m:t>h</m:t>
              </m:r>
            </m:sub>
          </m:sSub>
          <m:r>
            <m:rPr>
              <m:sty m:val="p"/>
            </m:rPr>
            <m:t>⋅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C</m:t>
                  </m:r>
                </m:e>
                <m:sub>
                  <m:r>
                    <m:t>i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C</m:t>
                  </m:r>
                </m:e>
                <m:sub>
                  <m:r>
                    <m:t>o</m:t>
                  </m:r>
                  <m:r>
                    <m:t>u</m:t>
                  </m:r>
                  <m:r>
                    <m:t>t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F</m:t>
          </m:r>
          <m:sSub>
            <m:e>
              <m:r>
                <m:t>u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⋅</m:t>
          </m:r>
          <m:r>
            <m:t>C</m:t>
          </m:r>
          <m:sSub>
            <m:e>
              <m:r>
                <m:t>L</m:t>
              </m:r>
            </m:e>
            <m:sub>
              <m:r>
                <m:t>i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u</m:t>
              </m:r>
            </m:sub>
          </m:sSub>
          <m:r>
            <m:rPr>
              <m:sty m:val="p"/>
            </m:rPr>
            <m:t>⋅</m:t>
          </m:r>
          <m:sSub>
            <m:e>
              <m:r>
                <m:t>C</m:t>
              </m:r>
            </m:e>
            <m:sub>
              <m:r>
                <m:t>o</m:t>
              </m:r>
              <m:r>
                <m:t>u</m:t>
              </m:r>
              <m:r>
                <m:t>t</m:t>
              </m:r>
            </m:sub>
          </m:sSub>
        </m:oMath>
      </m:oMathPara>
    </w:p>
    <w:p>
      <w:pPr>
        <w:numPr>
          <w:ilvl w:val="0"/>
          <w:numId w:val="1000"/>
        </w:numPr>
        <w:pStyle w:val="Compact"/>
      </w:pPr>
      <w:r>
        <w:t xml:space="preserve">Dividing both sides by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  <m:r>
              <m:t>n</m:t>
            </m:r>
          </m:sub>
        </m:sSub>
      </m:oMath>
      <w:r>
        <w:t xml:space="preserve"> </w:t>
      </w:r>
      <w:r>
        <w:t xml:space="preserve">and writing</w:t>
      </w:r>
      <w:r>
        <w:t xml:space="preserve"> </w:t>
      </w:r>
      <m:oMath>
        <m:sSub>
          <m:e>
            <m:r>
              <m:t>C</m:t>
            </m:r>
          </m:e>
          <m:sub>
            <m:r>
              <m:t>o</m:t>
            </m:r>
            <m:r>
              <m:t>u</m:t>
            </m:r>
            <m:r>
              <m:t>t</m:t>
            </m:r>
          </m:sub>
        </m:sSub>
        <m:r>
          <m:rPr>
            <m:sty m:val="p"/>
          </m:rPr>
          <m:t>/</m:t>
        </m:r>
        <m:sSub>
          <m:e>
            <m:r>
              <m:t>C</m:t>
            </m:r>
          </m:e>
          <m:sub>
            <m:r>
              <m:t>i</m:t>
            </m:r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b>
          <m:e>
            <m:r>
              <m:t>E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gives</w:t>
      </w:r>
      <w:r>
        <w:t xml:space="preserve"> </w:t>
      </w:r>
      <m:oMath>
        <m:sSub>
          <m:e>
            <m:r>
              <m:t>Q</m:t>
            </m:r>
          </m:e>
          <m:sub>
            <m:r>
              <m:t>h</m:t>
            </m:r>
          </m:sub>
        </m:sSub>
        <m:r>
          <m:rPr>
            <m:sty m:val="p"/>
          </m:rPr>
          <m:t>⋅</m:t>
        </m:r>
        <m:sSub>
          <m:e>
            <m:r>
              <m:t>E</m:t>
            </m:r>
          </m:e>
          <m:sub>
            <m:r>
              <m:t>H</m:t>
            </m:r>
          </m:sub>
        </m:sSub>
        <m:r>
          <m:rPr>
            <m:sty m:val="p"/>
          </m:rPr>
          <m:t>=</m:t>
        </m:r>
        <m:r>
          <m:t>F</m:t>
        </m:r>
        <m:sSub>
          <m:e>
            <m:r>
              <m:t>u</m:t>
            </m:r>
          </m:e>
          <m:sub>
            <m:r>
              <m:t>b</m:t>
            </m:r>
          </m:sub>
        </m:sSub>
        <m:r>
          <m:rPr>
            <m:sty m:val="p"/>
          </m:rPr>
          <m:t>⋅</m:t>
        </m:r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E</m:t>
                </m:r>
              </m:e>
              <m:sub>
                <m:r>
                  <m:t>H</m:t>
                </m:r>
              </m:sub>
            </m:sSub>
          </m:e>
        </m:d>
      </m:oMath>
      <w:r>
        <w:t xml:space="preserve">; solving this for</w:t>
      </w:r>
      <w:r>
        <w:t xml:space="preserve"> </w:t>
      </w:r>
      <m:oMath>
        <m:sSub>
          <m:e>
            <m:r>
              <m:t>E</m:t>
            </m:r>
          </m:e>
          <m:sub>
            <m:r>
              <m:t>H</m:t>
            </m:r>
          </m:sub>
        </m:sSub>
      </m:oMath>
      <w:r>
        <w:t xml:space="preserve">:</w:t>
      </w:r>
    </w:p>
    <w:p>
      <w:pPr>
        <w:pStyle w:val="Compac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H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F</m:t>
              </m:r>
              <m:sSub>
                <m:e>
                  <m:r>
                    <m:t>u</m:t>
                  </m:r>
                </m:e>
                <m:sub>
                  <m:r>
                    <m:t>b</m:t>
                  </m:r>
                </m:sub>
              </m:sSub>
              <m:r>
                <m:rPr>
                  <m:sty m:val="p"/>
                </m:rPr>
                <m:t>⋅</m:t>
              </m:r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n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</m:sub>
              </m:sSub>
            </m:num>
            <m:den>
              <m:sSub>
                <m:e>
                  <m:r>
                    <m:t>Q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+</m:t>
              </m:r>
              <m:r>
                <m:t>F</m:t>
              </m:r>
              <m:sSub>
                <m:e>
                  <m:r>
                    <m:t>u</m:t>
                  </m:r>
                </m:e>
                <m:sub>
                  <m:r>
                    <m:t>b</m:t>
                  </m:r>
                </m:sub>
              </m:sSub>
              <m:r>
                <m:rPr>
                  <m:sty m:val="p"/>
                </m:rPr>
                <m:t>⋅</m:t>
              </m:r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n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</m:sub>
              </m:sSub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Fraction surviving first-pass (</w:t>
      </w: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rPr>
          <w:bCs/>
          <w:b/>
        </w:rPr>
        <w:t xml:space="preserve">)</w:t>
      </w:r>
      <w:r>
        <w:t xml:space="preserve">, the fraction of drug that escapes hepatic extraction</w:t>
      </w:r>
      <w:r>
        <w:t xml:space="preserve"> </w:t>
      </w:r>
      <w:r>
        <w:t xml:space="preserve">and reaches systemic circulation: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b>
          <m:e>
            <m:r>
              <m:t>E</m:t>
            </m:r>
          </m:e>
          <m:sub>
            <m:r>
              <m:t>H</m:t>
            </m:r>
          </m:sub>
        </m:sSub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F</m:t>
              </m:r>
            </m:e>
            <m:sub>
              <m:r>
                <m:t>h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Q</m:t>
                  </m:r>
                </m:e>
                <m:sub>
                  <m:r>
                    <m:t>h</m:t>
                  </m:r>
                </m:sub>
              </m:sSub>
            </m:num>
            <m:den>
              <m:sSub>
                <m:e>
                  <m:r>
                    <m:t>Q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+</m:t>
              </m:r>
              <m:r>
                <m:t>F</m:t>
              </m:r>
              <m:sSub>
                <m:e>
                  <m:r>
                    <m:t>u</m:t>
                  </m:r>
                </m:e>
                <m:sub>
                  <m:r>
                    <m:t>b</m:t>
                  </m:r>
                </m:sub>
              </m:sSub>
              <m:r>
                <m:rPr>
                  <m:sty m:val="p"/>
                </m:rPr>
                <m:t>⋅</m:t>
              </m:r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n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</m:sub>
              </m:sSub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Hepatic clearance (</w:t>
      </w:r>
      <m:oMath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</m:oMath>
      <w:r>
        <w:rPr>
          <w:bCs/>
          <w:b/>
        </w:rPr>
        <w:t xml:space="preserve">)</w:t>
      </w:r>
      <w:r>
        <w:t xml:space="preserve">, the volume of blood fully cleared of drug per unit time, is by</w:t>
      </w:r>
      <w:r>
        <w:t xml:space="preserve"> </w:t>
      </w:r>
      <w:r>
        <w:t xml:space="preserve">definition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h</m:t>
            </m:r>
          </m:sub>
        </m:sSub>
        <m:r>
          <m:rPr>
            <m:sty m:val="p"/>
          </m:rPr>
          <m:t>⋅</m:t>
        </m:r>
        <m:sSub>
          <m:e>
            <m:r>
              <m:t>E</m:t>
            </m:r>
          </m:e>
          <m:sub>
            <m:r>
              <m:t>H</m:t>
            </m:r>
          </m:sub>
        </m:sSub>
      </m:oMath>
      <w:r>
        <w:t xml:space="preserve">. Substituting the</w:t>
      </w:r>
      <w:r>
        <w:t xml:space="preserve"> </w:t>
      </w:r>
      <m:oMath>
        <m:sSub>
          <m:e>
            <m:r>
              <m:t>E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formula above gives the well-stirred</w:t>
      </w:r>
      <w:r>
        <w:t xml:space="preserve"> </w:t>
      </w:r>
      <w:r>
        <w:t xml:space="preserve">model’s clearance equation: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sSub>
            <m:e>
              <m:r>
                <m:t>L</m:t>
              </m:r>
            </m:e>
            <m:sub>
              <m:r>
                <m:t>h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Q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⋅</m:t>
              </m:r>
              <m:r>
                <m:t>F</m:t>
              </m:r>
              <m:sSub>
                <m:e>
                  <m:r>
                    <m:t>u</m:t>
                  </m:r>
                </m:e>
                <m:sub>
                  <m:r>
                    <m:t>b</m:t>
                  </m:r>
                </m:sub>
              </m:sSub>
              <m:r>
                <m:rPr>
                  <m:sty m:val="p"/>
                </m:rPr>
                <m:t>⋅</m:t>
              </m:r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n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</m:sub>
              </m:sSub>
            </m:num>
            <m:den>
              <m:sSub>
                <m:e>
                  <m:r>
                    <m:t>Q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+</m:t>
              </m:r>
              <m:r>
                <m:t>F</m:t>
              </m:r>
              <m:sSub>
                <m:e>
                  <m:r>
                    <m:t>u</m:t>
                  </m:r>
                </m:e>
                <m:sub>
                  <m:r>
                    <m:t>b</m:t>
                  </m:r>
                </m:sub>
              </m:sSub>
              <m:r>
                <m:rPr>
                  <m:sty m:val="p"/>
                </m:rPr>
                <m:t>⋅</m:t>
              </m:r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n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</m:sub>
              </m:sSub>
            </m:den>
          </m:f>
        </m:oMath>
      </m:oMathPara>
    </w:p>
    <w:bookmarkEnd w:id="87"/>
    <w:bookmarkStart w:id="88" w:name="clh-in-terms-of-fh"/>
    <w:p>
      <w:pPr>
        <w:pStyle w:val="Heading3"/>
      </w:pPr>
      <w:r>
        <w:rPr>
          <w:rStyle w:val="SectionNumber"/>
        </w:rPr>
        <w:t xml:space="preserve">2.4.2</w:t>
      </w:r>
      <w:r>
        <w:tab/>
      </w:r>
      <w:r>
        <w:t xml:space="preserve">CL</w:t>
      </w:r>
      <w:r>
        <w:rPr>
          <w:vertAlign w:val="subscript"/>
        </w:rPr>
        <w:t xml:space="preserve">h</w:t>
      </w:r>
      <w:r>
        <w:t xml:space="preserve"> </w:t>
      </w:r>
      <w:r>
        <w:t xml:space="preserve">in Terms of F</w:t>
      </w:r>
      <w:r>
        <w:rPr>
          <w:vertAlign w:val="subscript"/>
        </w:rPr>
        <w:t xml:space="preserve">h</w:t>
      </w:r>
    </w:p>
    <w:p>
      <w:pPr>
        <w:pStyle w:val="FirstParagraph"/>
      </w:pPr>
      <m:oMath>
        <m:sSub>
          <m:e>
            <m:r>
              <m:t>E</m:t>
            </m:r>
          </m:e>
          <m:sub>
            <m:r>
              <m:t>H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above all still depend on</w:t>
      </w:r>
      <w:r>
        <w:t xml:space="preserve"> </w:t>
      </w:r>
      <m:oMath>
        <m:sSub>
          <m:e>
            <m:r>
              <m:t>Q</m:t>
            </m:r>
          </m:e>
          <m:sub>
            <m:r>
              <m:t>h</m:t>
            </m:r>
          </m:sub>
        </m:sSub>
      </m:oMath>
      <w:r>
        <w:t xml:space="preserve">. It’s useful to eliminate</w:t>
      </w:r>
      <w:r>
        <w:t xml:space="preserve"> </w:t>
      </w:r>
      <m:oMath>
        <m:sSub>
          <m:e>
            <m:r>
              <m:t>Q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w:r>
        <w:t xml:space="preserve">express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using only</w:t>
      </w:r>
      <w:r>
        <w:t xml:space="preserve"> </w:t>
      </w:r>
      <m:oMath>
        <m:r>
          <m:t>F</m:t>
        </m:r>
        <m:sSub>
          <m:e>
            <m:r>
              <m:t>u</m:t>
            </m:r>
          </m:e>
          <m:sub>
            <m:r>
              <m:t>b</m:t>
            </m:r>
          </m:sub>
        </m:sSub>
      </m:oMath>
      <w:r>
        <w:t xml:space="preserve">,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:</w:t>
      </w:r>
    </w:p>
    <w:p>
      <w:pPr>
        <w:numPr>
          <w:ilvl w:val="0"/>
          <w:numId w:val="1005"/>
        </w:numPr>
        <w:pStyle w:val="Compact"/>
      </w:pPr>
      <w:r>
        <w:t xml:space="preserve">Start from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h</m:t>
            </m:r>
          </m:sub>
        </m:sSub>
        <m:r>
          <m:rPr>
            <m:sty m:val="p"/>
          </m:rPr>
          <m:t>⋅</m:t>
        </m:r>
        <m:sSub>
          <m:e>
            <m:r>
              <m:t>E</m:t>
            </m:r>
          </m:e>
          <m:sub>
            <m:r>
              <m:t>H</m:t>
            </m:r>
          </m:sub>
        </m:sSub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h</m:t>
            </m:r>
          </m:sub>
        </m:sSub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F</m:t>
                </m:r>
              </m:e>
              <m:sub>
                <m:r>
                  <m:t>h</m:t>
                </m:r>
              </m:sub>
            </m:sSub>
          </m:e>
        </m:d>
      </m:oMath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Solve the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formula above for</w:t>
      </w:r>
      <w:r>
        <w:t xml:space="preserve"> </w:t>
      </w:r>
      <m:oMath>
        <m:sSub>
          <m:e>
            <m:r>
              <m:t>Q</m:t>
            </m:r>
          </m:e>
          <m:sub>
            <m:r>
              <m:t>h</m:t>
            </m:r>
          </m:sub>
        </m:sSub>
      </m:oMath>
      <w:r>
        <w:t xml:space="preserve">: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Q</m:t>
                </m:r>
              </m:e>
              <m:sub>
                <m:r>
                  <m:t>h</m:t>
                </m:r>
              </m:sub>
            </m:sSub>
            <m:r>
              <m:rPr>
                <m:sty m:val="p"/>
              </m:rPr>
              <m:t>+</m:t>
            </m:r>
            <m:r>
              <m:t>F</m:t>
            </m:r>
            <m:sSub>
              <m:e>
                <m:r>
                  <m:t>u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⋅</m:t>
            </m:r>
            <m:r>
              <m:t>C</m:t>
            </m:r>
            <m:sSub>
              <m:e>
                <m:r>
                  <m:t>L</m:t>
                </m:r>
              </m:e>
              <m:sub>
                <m:r>
                  <m:t>i</m:t>
                </m:r>
                <m:r>
                  <m:t>n</m:t>
                </m:r>
                <m:r>
                  <m:t>t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</m:sub>
            </m:sSub>
          </m:e>
        </m:d>
        <m:r>
          <m:rPr>
            <m:sty m:val="p"/>
          </m:rPr>
          <m:t>=</m:t>
        </m:r>
        <m:sSub>
          <m:e>
            <m:r>
              <m:t>Q</m:t>
            </m:r>
          </m:e>
          <m:sub>
            <m:r>
              <m:t>h</m:t>
            </m:r>
          </m:sub>
        </m:sSub>
      </m:oMath>
      <w:r>
        <w:t xml:space="preserve">, so</w:t>
      </w:r>
      <w:r>
        <w:t xml:space="preserve"> </w:t>
      </w:r>
      <m:oMath>
        <m:sSub>
          <m:e>
            <m:r>
              <m:t>Q</m:t>
            </m:r>
          </m:e>
          <m:sub>
            <m:r>
              <m:t>h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F</m:t>
                </m:r>
              </m:e>
              <m:sub>
                <m:r>
                  <m:t>h</m:t>
                </m:r>
              </m:sub>
            </m:sSub>
            <m:r>
              <m:rPr>
                <m:sty m:val="p"/>
              </m:rPr>
              <m:t>⋅</m:t>
            </m:r>
            <m:r>
              <m:t>F</m:t>
            </m:r>
            <m:sSub>
              <m:e>
                <m:r>
                  <m:t>u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⋅</m:t>
            </m:r>
            <m:r>
              <m:t>C</m:t>
            </m:r>
            <m:sSub>
              <m:e>
                <m:r>
                  <m:t>L</m:t>
                </m:r>
              </m:e>
              <m:sub>
                <m:r>
                  <m:t>i</m:t>
                </m:r>
                <m:r>
                  <m:t>n</m:t>
                </m:r>
                <m:r>
                  <m:t>t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</m:sub>
            </m:sSub>
          </m:num>
          <m:den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F</m:t>
                </m:r>
              </m:e>
              <m:sub>
                <m:r>
                  <m:t>h</m:t>
                </m:r>
              </m:sub>
            </m:sSub>
          </m:den>
        </m:f>
      </m:oMath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Substitute into step 1: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F</m:t>
                </m:r>
              </m:e>
              <m:sub>
                <m:r>
                  <m:t>h</m:t>
                </m:r>
              </m:sub>
            </m:sSub>
            <m:r>
              <m:rPr>
                <m:sty m:val="p"/>
              </m:rPr>
              <m:t>⋅</m:t>
            </m:r>
            <m:r>
              <m:t>F</m:t>
            </m:r>
            <m:sSub>
              <m:e>
                <m:r>
                  <m:t>u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⋅</m:t>
            </m:r>
            <m:r>
              <m:t>C</m:t>
            </m:r>
            <m:sSub>
              <m:e>
                <m:r>
                  <m:t>L</m:t>
                </m:r>
              </m:e>
              <m:sub>
                <m:r>
                  <m:t>i</m:t>
                </m:r>
                <m:r>
                  <m:t>n</m:t>
                </m:r>
                <m:r>
                  <m:t>t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</m:sub>
            </m:sSub>
          </m:num>
          <m:den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F</m:t>
                </m:r>
              </m:e>
              <m:sub>
                <m:r>
                  <m:t>h</m:t>
                </m:r>
              </m:sub>
            </m:sSub>
          </m:den>
        </m:f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F</m:t>
                </m:r>
              </m:e>
              <m:sub>
                <m:r>
                  <m:t>h</m:t>
                </m:r>
              </m:sub>
            </m:sSub>
          </m:e>
        </m:d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b>
              <m:e>
                <m:r>
                  <m:t>F</m:t>
                </m:r>
              </m:e>
              <m:sub>
                <m:r>
                  <m:t>h</m:t>
                </m:r>
              </m:sub>
            </m:sSub>
          </m:e>
        </m:d>
      </m:oMath>
      <w:r>
        <w:t xml:space="preserve"> </w:t>
      </w:r>
      <w:r>
        <w:t xml:space="preserve">terms cancel, leaving:</w:t>
      </w:r>
    </w:p>
    <w:p>
      <w:pPr>
        <w:pStyle w:val="Compact"/>
      </w:pPr>
      <m:oMathPara>
        <m:oMathParaPr>
          <m:jc m:val="center"/>
        </m:oMathParaPr>
        <m:oMath>
          <m:r>
            <m:t>C</m:t>
          </m:r>
          <m:sSub>
            <m:e>
              <m:r>
                <m:t>L</m:t>
              </m:r>
            </m:e>
            <m:sub>
              <m:r>
                <m:t>h</m:t>
              </m:r>
            </m:sub>
          </m:sSub>
          <m:r>
            <m:rPr>
              <m:sty m:val="p"/>
            </m:rPr>
            <m:t>=</m:t>
          </m:r>
          <m:r>
            <m:t>F</m:t>
          </m:r>
          <m:sSub>
            <m:e>
              <m:r>
                <m:t>u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⋅</m:t>
          </m:r>
          <m:r>
            <m:t>C</m:t>
          </m:r>
          <m:sSub>
            <m:e>
              <m:r>
                <m:t>L</m:t>
              </m:r>
            </m:e>
            <m:sub>
              <m:r>
                <m:t>i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u</m:t>
              </m:r>
            </m:sub>
          </m:sSub>
          <m:r>
            <m:rPr>
              <m:sty m:val="p"/>
            </m:rPr>
            <m:t>⋅</m:t>
          </m:r>
          <m:sSub>
            <m:e>
              <m:r>
                <m:t>F</m:t>
              </m:r>
            </m:e>
            <m:sub>
              <m:r>
                <m:t>h</m:t>
              </m:r>
            </m:sub>
          </m:sSub>
        </m:oMath>
      </m:oMathPara>
    </w:p>
    <w:p>
      <w:pPr>
        <w:pStyle w:val="FirstParagraph"/>
      </w:pPr>
      <w:r>
        <w:rPr>
          <w:bCs/>
          <w:b/>
        </w:rPr>
        <w:t xml:space="preserve">Interpretation.</w:t>
      </w:r>
      <w:r>
        <w:t xml:space="preserve"> </w:t>
      </w:r>
      <w:r>
        <w:t xml:space="preserve">This says the actual hepatic clearance is the</w:t>
      </w:r>
      <w:r>
        <w:t xml:space="preserve"> </w:t>
      </w:r>
      <w:r>
        <w:rPr>
          <w:iCs/>
          <w:i/>
        </w:rPr>
        <w:t xml:space="preserve">maximum theoretical enzymatic</w:t>
      </w:r>
      <w:r>
        <w:rPr>
          <w:iCs/>
          <w:i/>
        </w:rPr>
        <w:t xml:space="preserve"> </w:t>
      </w:r>
      <w:r>
        <w:rPr>
          <w:iCs/>
          <w:i/>
        </w:rPr>
        <w:t xml:space="preserve">capability</w:t>
      </w:r>
      <w:r>
        <w:t xml:space="preserve"> </w:t>
      </w:r>
      <w:r>
        <w:t xml:space="preserve">(</w:t>
      </w:r>
      <m:oMath>
        <m:r>
          <m:t>F</m:t>
        </m:r>
        <m:sSub>
          <m:e>
            <m:r>
              <m:t>u</m:t>
            </m:r>
          </m:e>
          <m:sub>
            <m:r>
              <m:t>b</m:t>
            </m:r>
          </m:sub>
        </m:sSub>
        <m:r>
          <m:rPr>
            <m:sty m:val="p"/>
          </m:rPr>
          <m:t>⋅</m:t>
        </m:r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  <w:r>
        <w:t xml:space="preserve">), scaled down by the</w:t>
      </w:r>
      <w:r>
        <w:t xml:space="preserve"> </w:t>
      </w:r>
      <w:r>
        <w:rPr>
          <w:iCs/>
          <w:i/>
        </w:rPr>
        <w:t xml:space="preserve">fraction of drug that actually reaches</w:t>
      </w:r>
      <w:r>
        <w:rPr>
          <w:iCs/>
          <w:i/>
        </w:rPr>
        <w:t xml:space="preserve"> </w:t>
      </w:r>
      <w:r>
        <w:rPr>
          <w:iCs/>
          <w:i/>
        </w:rPr>
        <w:t xml:space="preserve">the enzymes intact</w:t>
      </w:r>
      <w:r>
        <w:t xml:space="preserve"> </w:t>
      </w:r>
      <w:r>
        <w:t xml:space="preserve">(</w:t>
      </w: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)</w:t>
      </w:r>
      <w:r>
        <w:t xml:space="preserve"> </w:t>
      </w:r>
      <w:r>
        <w:t xml:space="preserve">(Gabrielsson and Weiner 2016)</w:t>
      </w:r>
      <w:r>
        <w:t xml:space="preserve">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Low-extraction drug</w:t>
      </w:r>
      <w:r>
        <w:t xml:space="preserve"> </w:t>
      </w:r>
      <w:r>
        <w:t xml:space="preserve">(</w:t>
      </w:r>
      <m:oMath>
        <m:sSub>
          <m:e>
            <m:r>
              <m:t>E</m:t>
            </m:r>
          </m:e>
          <m:sub>
            <m:r>
              <m:t>H</m:t>
            </m:r>
          </m:sub>
        </m:sSub>
        <m:r>
          <m:rPr>
            <m:sty m:val="p"/>
          </m:rPr>
          <m:t>≈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  <m:r>
          <m:rPr>
            <m:sty m:val="p"/>
          </m:rPr>
          <m:t>≈</m:t>
        </m:r>
        <m:r>
          <m:t>1</m:t>
        </m:r>
      </m:oMath>
      <w:r>
        <w:t xml:space="preserve">):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  <m:r>
          <m:rPr>
            <m:sty m:val="p"/>
          </m:rPr>
          <m:t>≈</m:t>
        </m:r>
        <m:r>
          <m:t>F</m:t>
        </m:r>
        <m:sSub>
          <m:e>
            <m:r>
              <m:t>u</m:t>
            </m:r>
          </m:e>
          <m:sub>
            <m:r>
              <m:t>b</m:t>
            </m:r>
          </m:sub>
        </m:sSub>
        <m:r>
          <m:rPr>
            <m:sty m:val="p"/>
          </m:rPr>
          <m:t>⋅</m:t>
        </m:r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</w:p>
    <w:p>
      <w:pPr>
        <w:numPr>
          <w:ilvl w:val="1"/>
          <w:numId w:val="1007"/>
        </w:numPr>
        <w:pStyle w:val="Compact"/>
      </w:pPr>
      <w:r>
        <w:t xml:space="preserve">clearance depends only on protein binding and enzyme activity, not blood flow.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High-extraction drug</w:t>
      </w:r>
      <w:r>
        <w:t xml:space="preserve"> </w:t>
      </w:r>
      <w:r>
        <w:t xml:space="preserve">(</w:t>
      </w:r>
      <m:oMath>
        <m:sSub>
          <m:e>
            <m:r>
              <m:t>E</m:t>
            </m:r>
          </m:e>
          <m:sub>
            <m:r>
              <m:t>H</m:t>
            </m:r>
          </m:sub>
        </m:sSub>
        <m:r>
          <m:rPr>
            <m:sty m:val="p"/>
          </m:rPr>
          <m:t>≈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small):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becomes a bottleneck - even a</w:t>
      </w:r>
      <w:r>
        <w:t xml:space="preserve"> </w:t>
      </w:r>
      <w:r>
        <w:t xml:space="preserve">very large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  <w:r>
        <w:t xml:space="preserve"> </w:t>
      </w:r>
      <w:r>
        <w:t xml:space="preserve">can’t push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much past</w:t>
      </w:r>
      <w:r>
        <w:t xml:space="preserve"> </w:t>
      </w:r>
      <m:oMath>
        <m:sSub>
          <m:e>
            <m:r>
              <m:t>Q</m:t>
            </m:r>
          </m:e>
          <m:sub>
            <m:r>
              <m:t>h</m:t>
            </m:r>
          </m:sub>
        </m:sSub>
      </m:oMath>
      <w:r>
        <w:t xml:space="preserve">, so clearance becomes</w:t>
      </w:r>
      <w:r>
        <w:t xml:space="preserve"> </w:t>
      </w:r>
      <w:r>
        <w:t xml:space="preserve">blood-flow-limited rather than enzyme-limited.</w:t>
      </w:r>
    </w:p>
    <w:bookmarkEnd w:id="88"/>
    <w:bookmarkStart w:id="89" w:name="fhs-two-roles-in-mmvfree"/>
    <w:p>
      <w:pPr>
        <w:pStyle w:val="Heading3"/>
      </w:pPr>
      <w:r>
        <w:rPr>
          <w:rStyle w:val="SectionNumber"/>
        </w:rPr>
        <w:t xml:space="preserve">2.4.3</w:t>
      </w:r>
      <w:r>
        <w:tab/>
      </w:r>
      <w:r>
        <w:t xml:space="preserve">F</w:t>
      </w:r>
      <w:r>
        <w:rPr>
          <w:vertAlign w:val="subscript"/>
        </w:rPr>
        <w:t xml:space="preserve">h</w:t>
      </w:r>
      <w:r>
        <w:t xml:space="preserve">’s Two Roles in MMVFree</w:t>
      </w:r>
    </w:p>
    <w:p>
      <w:pPr>
        <w:pStyle w:val="FirstParagraph"/>
      </w:pP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is used in two places in MMVFree, for two different reasons: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Oral bioavailability</w:t>
      </w:r>
      <w:r>
        <w:t xml:space="preserve">: an oral dose passes through the liver once (via the portal vein)</w:t>
      </w:r>
      <w:r>
        <w:t xml:space="preserve"> </w:t>
      </w:r>
      <w:r>
        <w:t xml:space="preserve">before reaching the rest of the body, and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is exactly the fraction that survives that</w:t>
      </w:r>
      <w:r>
        <w:t xml:space="preserve"> </w:t>
      </w:r>
      <w:r>
        <w:t xml:space="preserve">single pass - it multiplies directly into oral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(Chapter</w:t>
      </w:r>
      <w:r>
        <w:t xml:space="preserve"> </w:t>
      </w:r>
      <w:r>
        <w:t xml:space="preserve">3</w:t>
      </w:r>
      <w:r>
        <w:t xml:space="preserve">). An LAI</w:t>
      </w:r>
      <w:r>
        <w:t xml:space="preserve"> </w:t>
      </w:r>
      <w:r>
        <w:t xml:space="preserve">dose skips this entirely, since intramuscular/subcutaneous injection bypasses the portal vein.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Elimination rate</w:t>
      </w:r>
      <w:r>
        <w:t xml:space="preserve">: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a second first-pass loss here - it’s simply part of how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factors, per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  <m:r>
          <m:rPr>
            <m:sty m:val="p"/>
          </m:rPr>
          <m:t>=</m:t>
        </m:r>
        <m:r>
          <m:t>F</m:t>
        </m:r>
        <m:sSub>
          <m:e>
            <m:r>
              <m:t>u</m:t>
            </m:r>
          </m:e>
          <m:sub>
            <m:r>
              <m:t>b</m:t>
            </m:r>
          </m:sub>
        </m:sSub>
        <m:r>
          <m:rPr>
            <m:sty m:val="p"/>
          </m:rPr>
          <m:t>⋅</m:t>
        </m:r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  <m:r>
          <m:rPr>
            <m:sty m:val="p"/>
          </m:rPr>
          <m:t>⋅</m:t>
        </m:r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above</w:t>
      </w:r>
      <w:r>
        <w:t xml:space="preserve"> </w:t>
      </w:r>
      <w:r>
        <w:t xml:space="preserve">(</w:t>
      </w:r>
      <w:r>
        <w:t xml:space="preserve">2.4.2</w:t>
      </w:r>
      <w:r>
        <w:t xml:space="preserve">).</w:t>
      </w:r>
    </w:p>
    <w:bookmarkEnd w:id="89"/>
    <w:bookmarkEnd w:id="90"/>
    <w:bookmarkStart w:id="91" w:name="elimination-rate-constant-ke"/>
    <w:p>
      <w:pPr>
        <w:pStyle w:val="Heading2"/>
      </w:pPr>
      <w:r>
        <w:rPr>
          <w:rStyle w:val="SectionNumber"/>
        </w:rPr>
        <w:t xml:space="preserve">2.5</w:t>
      </w:r>
      <w:r>
        <w:tab/>
      </w:r>
      <w:r>
        <w:t xml:space="preserve">Elimination Rate Constant (k</w:t>
      </w:r>
      <w:r>
        <w:rPr>
          <w:vertAlign w:val="subscript"/>
        </w:rPr>
        <w:t xml:space="preserve">e</w:t>
      </w:r>
      <w:r>
        <w:t xml:space="preserve">)</w:t>
      </w:r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k</m:t>
              </m:r>
            </m:e>
            <m:sub>
              <m:r>
                <m:t>e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n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</m:sub>
              </m:sSub>
              <m:r>
                <m:rPr>
                  <m:sty m:val="p"/>
                </m:rPr>
                <m:t>⋅</m:t>
              </m:r>
              <m:sSub>
                <m:e>
                  <m:r>
                    <m:t>F</m:t>
                  </m:r>
                </m:e>
                <m:sub>
                  <m:r>
                    <m:t>h</m:t>
                  </m:r>
                </m:sub>
              </m:sSub>
            </m:num>
            <m:den>
              <m:r>
                <m:t>V</m:t>
              </m:r>
              <m:r>
                <m:t>s</m:t>
              </m:r>
              <m:sSub>
                <m:e>
                  <m:r>
                    <m:t>s</m:t>
                  </m:r>
                </m:e>
                <m:sub>
                  <m:r>
                    <m:t>u</m:t>
                  </m:r>
                </m:sub>
              </m:sSub>
            </m:den>
          </m:f>
        </m:oMath>
      </m:oMathPara>
    </w:p>
    <w:p>
      <w:pPr>
        <w:pStyle w:val="FirstParagraph"/>
      </w:pPr>
      <w:r>
        <w:t xml:space="preserve">computed independently for each of the two</w:t>
      </w:r>
      <w:r>
        <w:t xml:space="preserve"> </w:t>
      </w:r>
      <m:oMath>
        <m:r>
          <m:t>V</m:t>
        </m:r>
        <m:r>
          <m:t>s</m:t>
        </m:r>
        <m:sSub>
          <m:e>
            <m:r>
              <m:t>s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estimates above (in silico and in vivo),</w:t>
      </w:r>
      <w:r>
        <w:t xml:space="preserve"> </w:t>
      </w:r>
      <w:r>
        <w:t xml:space="preserve">giving two</w:t>
      </w:r>
      <w:r>
        <w:t xml:space="preserve"> </w:t>
      </w:r>
      <m:oMath>
        <m:sSub>
          <m:e>
            <m:r>
              <m:t>k</m:t>
            </m:r>
          </m:e>
          <m:sub>
            <m:r>
              <m:t>e</m:t>
            </m:r>
          </m:sub>
        </m:sSub>
      </m:oMath>
      <w:r>
        <w:t xml:space="preserve"> </w:t>
      </w:r>
      <w:r>
        <w:t xml:space="preserve">values per compound. Reported in the app as</w:t>
      </w:r>
      <w:r>
        <w:t xml:space="preserve"> </w:t>
      </w:r>
      <w:r>
        <w:t xml:space="preserve">“</w:t>
      </w:r>
      <w:r>
        <w:t xml:space="preserve">Elimination rate (1/hour)</w:t>
      </w:r>
      <w:r>
        <w:t xml:space="preserve">”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Where this comes from.</w:t>
      </w:r>
      <w:r>
        <w:t xml:space="preserve"> </w:t>
      </w:r>
      <w:r>
        <w:t xml:space="preserve">The textbook definition is</w:t>
      </w:r>
      <w:r>
        <w:t xml:space="preserve"> </w:t>
      </w:r>
      <m:oMath>
        <m:sSub>
          <m:e>
            <m:r>
              <m:t>k</m:t>
            </m:r>
          </m:e>
          <m:sub>
            <m:r>
              <m:t>e</m:t>
            </m:r>
          </m:sub>
        </m:sSub>
        <m:r>
          <m:rPr>
            <m:sty m:val="p"/>
          </m:rPr>
          <m:t>=</m:t>
        </m:r>
        <m:r>
          <m:t>C</m:t>
        </m:r>
        <m:r>
          <m:t>L</m:t>
        </m:r>
        <m:r>
          <m:rPr>
            <m:sty m:val="p"/>
          </m:rPr>
          <m:t>/</m:t>
        </m:r>
        <m:r>
          <m:t>V</m:t>
        </m:r>
        <m:r>
          <m:t>s</m:t>
        </m:r>
        <m:r>
          <m:t>s</m:t>
        </m:r>
      </m:oMath>
      <w:r>
        <w:t xml:space="preserve">, both in the same matrix</w:t>
      </w:r>
      <w:r>
        <w:t xml:space="preserve"> </w:t>
      </w:r>
      <w:r>
        <w:t xml:space="preserve">(plasma, conventionally). Starting from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  <m:r>
          <m:rPr>
            <m:sty m:val="p"/>
          </m:rPr>
          <m:t>=</m:t>
        </m:r>
        <m:r>
          <m:t>F</m:t>
        </m:r>
        <m:sSub>
          <m:e>
            <m:r>
              <m:t>u</m:t>
            </m:r>
          </m:e>
          <m:sub>
            <m:r>
              <m:t>b</m:t>
            </m:r>
          </m:sub>
        </m:sSub>
        <m:r>
          <m:rPr>
            <m:sty m:val="p"/>
          </m:rPr>
          <m:t>⋅</m:t>
        </m:r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  <m:r>
          <m:rPr>
            <m:sty m:val="p"/>
          </m:rPr>
          <m:t>⋅</m:t>
        </m:r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(</w:t>
      </w:r>
      <w:r>
        <w:t xml:space="preserve">2.4.2</w:t>
      </w:r>
      <w:r>
        <w:t xml:space="preserve">):</w:t>
      </w:r>
    </w:p>
    <w:p>
      <w:pPr>
        <w:numPr>
          <w:ilvl w:val="0"/>
          <w:numId w:val="1009"/>
        </w:numPr>
        <w:pStyle w:val="Compact"/>
      </w:pPr>
      <m:oMath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is a blood clearance; converting it to a plasma clearance needs the blood-to-plasma</w:t>
      </w:r>
      <w:r>
        <w:t xml:space="preserve"> </w:t>
      </w:r>
      <w:r>
        <w:t xml:space="preserve">ratio,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p</m:t>
            </m:r>
            <m:r>
              <m:t>l</m:t>
            </m:r>
            <m:r>
              <m:t>a</m:t>
            </m:r>
            <m:r>
              <m:t>s</m:t>
            </m:r>
            <m:r>
              <m:t>m</m:t>
            </m:r>
            <m:r>
              <m:t>a</m:t>
            </m:r>
          </m:sub>
        </m:sSub>
        <m:r>
          <m:rPr>
            <m:sty m:val="p"/>
          </m:rPr>
          <m:t>=</m:t>
        </m:r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  <m:r>
          <m:rPr>
            <m:sty m:val="p"/>
          </m:rPr>
          <m:t>×</m:t>
        </m:r>
        <m:r>
          <m:rPr>
            <m:nor/>
            <m:sty m:val="p"/>
          </m:rPr>
          <m:t>BPratio</m:t>
        </m:r>
      </m:oMath>
      <w:r>
        <w:t xml:space="preserve">. Substituting</w:t>
      </w:r>
      <w:r>
        <w:t xml:space="preserve"> </w:t>
      </w:r>
      <m:oMath>
        <m:r>
          <m:t>F</m:t>
        </m:r>
        <m:sSub>
          <m:e>
            <m:r>
              <m:t>u</m:t>
            </m:r>
          </m:e>
          <m:sub>
            <m:r>
              <m:t>b</m:t>
            </m:r>
          </m:sub>
        </m:sSub>
        <m:r>
          <m:rPr>
            <m:sty m:val="p"/>
          </m:rPr>
          <m:t>=</m:t>
        </m:r>
        <m:r>
          <m:t>F</m:t>
        </m:r>
        <m:sSub>
          <m:e>
            <m:r>
              <m:t>u</m:t>
            </m:r>
          </m:e>
          <m:sub>
            <m:r>
              <m:t>p</m:t>
            </m:r>
            <m:r>
              <m:t>l</m:t>
            </m:r>
            <m:r>
              <m:t>a</m:t>
            </m:r>
            <m:r>
              <m:t>s</m:t>
            </m:r>
            <m:r>
              <m:t>m</m:t>
            </m:r>
            <m:r>
              <m:t>a</m:t>
            </m:r>
          </m:sub>
        </m:sSub>
        <m:r>
          <m:rPr>
            <m:sty m:val="p"/>
          </m:rPr>
          <m:t>/</m:t>
        </m:r>
        <m:r>
          <m:rPr>
            <m:nor/>
            <m:sty m:val="p"/>
          </m:rPr>
          <m:t>BPratio</m:t>
        </m:r>
      </m:oMath>
      <w:r>
        <w:t xml:space="preserve">, the BPratio cancels: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p</m:t>
            </m:r>
            <m:r>
              <m:t>l</m:t>
            </m:r>
            <m:r>
              <m:t>a</m:t>
            </m:r>
            <m:r>
              <m:t>s</m:t>
            </m:r>
            <m:r>
              <m:t>m</m:t>
            </m:r>
            <m:r>
              <m:t>a</m:t>
            </m:r>
          </m:sub>
        </m:sSub>
        <m:r>
          <m:rPr>
            <m:sty m:val="p"/>
          </m:rPr>
          <m:t>=</m:t>
        </m:r>
        <m:r>
          <m:t>F</m:t>
        </m:r>
        <m:sSub>
          <m:e>
            <m:r>
              <m:t>u</m:t>
            </m:r>
          </m:e>
          <m:sub>
            <m:r>
              <m:t>p</m:t>
            </m:r>
            <m:r>
              <m:t>l</m:t>
            </m:r>
            <m:r>
              <m:t>a</m:t>
            </m:r>
            <m:r>
              <m:t>s</m:t>
            </m:r>
            <m:r>
              <m:t>m</m:t>
            </m:r>
            <m:r>
              <m:t>a</m:t>
            </m:r>
          </m:sub>
        </m:sSub>
        <m:r>
          <m:rPr>
            <m:sty m:val="p"/>
          </m:rPr>
          <m:t>⋅</m:t>
        </m:r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  <m:r>
          <m:rPr>
            <m:sty m:val="p"/>
          </m:rPr>
          <m:t>⋅</m:t>
        </m:r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m:oMath>
        <m:r>
          <m:t>V</m:t>
        </m:r>
        <m:r>
          <m:t>s</m:t>
        </m:r>
        <m:sSub>
          <m:e>
            <m:r>
              <m:t>s</m:t>
            </m:r>
          </m:e>
          <m:sub>
            <m:r>
              <m:t>u</m:t>
            </m:r>
          </m:sub>
        </m:sSub>
        <m:r>
          <m:rPr>
            <m:sty m:val="p"/>
          </m:rPr>
          <m:t>=</m:t>
        </m:r>
        <m:r>
          <m:t>V</m:t>
        </m:r>
        <m:r>
          <m:t>s</m:t>
        </m:r>
        <m:r>
          <m:t>s</m:t>
        </m:r>
        <m:r>
          <m:rPr>
            <m:sty m:val="p"/>
          </m:rPr>
          <m:t>/</m:t>
        </m:r>
        <m:r>
          <m:t>F</m:t>
        </m:r>
        <m:sSub>
          <m:e>
            <m:r>
              <m:t>u</m:t>
            </m:r>
          </m:e>
          <m:sub>
            <m:r>
              <m:t>p</m:t>
            </m:r>
            <m:r>
              <m:t>l</m:t>
            </m:r>
            <m:r>
              <m:t>a</m:t>
            </m:r>
            <m:r>
              <m:t>s</m:t>
            </m:r>
            <m:r>
              <m:t>m</m:t>
            </m:r>
            <m:r>
              <m:t>a</m:t>
            </m:r>
          </m:sub>
        </m:sSub>
      </m:oMath>
      <w:r>
        <w:t xml:space="preserve"> </w:t>
      </w:r>
      <w:r>
        <w:t xml:space="preserve">(previous section), so</w:t>
      </w:r>
      <w:r>
        <w:t xml:space="preserve"> </w:t>
      </w:r>
      <m:oMath>
        <m:r>
          <m:t>V</m:t>
        </m:r>
        <m:r>
          <m:t>s</m:t>
        </m:r>
        <m:r>
          <m:t>s</m:t>
        </m:r>
        <m:r>
          <m:rPr>
            <m:sty m:val="p"/>
          </m:rPr>
          <m:t>=</m:t>
        </m:r>
        <m:r>
          <m:t>V</m:t>
        </m:r>
        <m:r>
          <m:t>s</m:t>
        </m:r>
        <m:sSub>
          <m:e>
            <m:r>
              <m:t>s</m:t>
            </m:r>
          </m:e>
          <m:sub>
            <m:r>
              <m:t>u</m:t>
            </m:r>
          </m:sub>
        </m:sSub>
        <m:r>
          <m:rPr>
            <m:sty m:val="p"/>
          </m:rPr>
          <m:t>⋅</m:t>
        </m:r>
        <m:r>
          <m:t>F</m:t>
        </m:r>
        <m:sSub>
          <m:e>
            <m:r>
              <m:t>u</m:t>
            </m:r>
          </m:e>
          <m:sub>
            <m:r>
              <m:t>p</m:t>
            </m:r>
            <m:r>
              <m:t>l</m:t>
            </m:r>
            <m:r>
              <m:t>a</m:t>
            </m:r>
            <m:r>
              <m:t>s</m:t>
            </m:r>
            <m:r>
              <m:t>m</m:t>
            </m:r>
            <m:r>
              <m:t>a</m:t>
            </m:r>
          </m:sub>
        </m:sSub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m:oMath>
        <m:sSub>
          <m:e>
            <m:r>
              <m:t>k</m:t>
            </m:r>
          </m:e>
          <m:sub>
            <m:r>
              <m:t>e</m:t>
            </m:r>
          </m:sub>
        </m:sSub>
        <m:r>
          <m:rPr>
            <m:sty m:val="p"/>
          </m:rPr>
          <m:t>=</m:t>
        </m:r>
        <m:r>
          <m:t>C</m:t>
        </m:r>
        <m:sSub>
          <m:e>
            <m:r>
              <m:t>L</m:t>
            </m:r>
          </m:e>
          <m:sub>
            <m:r>
              <m:t>p</m:t>
            </m:r>
            <m:r>
              <m:t>l</m:t>
            </m:r>
            <m:r>
              <m:t>a</m:t>
            </m:r>
            <m:r>
              <m:t>s</m:t>
            </m:r>
            <m:r>
              <m:t>m</m:t>
            </m:r>
            <m:r>
              <m:t>a</m:t>
            </m:r>
          </m:sub>
        </m:sSub>
        <m:r>
          <m:rPr>
            <m:sty m:val="p"/>
          </m:rPr>
          <m:t>/</m:t>
        </m:r>
        <m:r>
          <m:t>V</m:t>
        </m:r>
        <m:r>
          <m:t>s</m:t>
        </m:r>
        <m:r>
          <m:t>s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F</m:t>
            </m:r>
            <m:sSub>
              <m:e>
                <m:r>
                  <m:t>u</m:t>
                </m:r>
              </m:e>
              <m:sub>
                <m:r>
                  <m:t>p</m:t>
                </m:r>
                <m:r>
                  <m:t>l</m:t>
                </m:r>
                <m:r>
                  <m:t>a</m:t>
                </m:r>
                <m:r>
                  <m:t>s</m:t>
                </m:r>
                <m:r>
                  <m:t>m</m:t>
                </m:r>
                <m:r>
                  <m:t>a</m:t>
                </m:r>
              </m:sub>
            </m:sSub>
            <m:r>
              <m:rPr>
                <m:sty m:val="p"/>
              </m:rPr>
              <m:t>⋅</m:t>
            </m:r>
            <m:r>
              <m:t>C</m:t>
            </m:r>
            <m:sSub>
              <m:e>
                <m:r>
                  <m:t>L</m:t>
                </m:r>
              </m:e>
              <m:sub>
                <m:r>
                  <m:t>i</m:t>
                </m:r>
                <m:r>
                  <m:t>n</m:t>
                </m:r>
                <m:r>
                  <m:t>t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</m:sub>
            </m:sSub>
            <m:r>
              <m:rPr>
                <m:sty m:val="p"/>
              </m:rPr>
              <m:t>⋅</m:t>
            </m:r>
            <m:sSub>
              <m:e>
                <m:r>
                  <m:t>F</m:t>
                </m:r>
              </m:e>
              <m:sub>
                <m:r>
                  <m:t>h</m:t>
                </m:r>
              </m:sub>
            </m:sSub>
          </m:num>
          <m:den>
            <m:r>
              <m:t>V</m:t>
            </m:r>
            <m:r>
              <m:t>s</m:t>
            </m:r>
            <m:sSub>
              <m:e>
                <m:r>
                  <m:t>s</m:t>
                </m:r>
              </m:e>
              <m:sub>
                <m:r>
                  <m:t>u</m:t>
                </m:r>
              </m:sub>
            </m:sSub>
            <m:r>
              <m:rPr>
                <m:sty m:val="p"/>
              </m:rPr>
              <m:t>⋅</m:t>
            </m:r>
            <m:r>
              <m:t>F</m:t>
            </m:r>
            <m:sSub>
              <m:e>
                <m:r>
                  <m:t>u</m:t>
                </m:r>
              </m:e>
              <m:sub>
                <m:r>
                  <m:t>p</m:t>
                </m:r>
                <m:r>
                  <m:t>l</m:t>
                </m:r>
                <m:r>
                  <m:t>a</m:t>
                </m:r>
                <m:r>
                  <m:t>s</m:t>
                </m:r>
                <m:r>
                  <m:t>m</m:t>
                </m:r>
                <m:r>
                  <m:t>a</m:t>
                </m:r>
              </m:sub>
            </m:sSub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C</m:t>
            </m:r>
            <m:sSub>
              <m:e>
                <m:r>
                  <m:t>L</m:t>
                </m:r>
              </m:e>
              <m:sub>
                <m:r>
                  <m:t>i</m:t>
                </m:r>
                <m:r>
                  <m:t>n</m:t>
                </m:r>
                <m:r>
                  <m:t>t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</m:sub>
            </m:sSub>
            <m:r>
              <m:rPr>
                <m:sty m:val="p"/>
              </m:rPr>
              <m:t>⋅</m:t>
            </m:r>
            <m:sSub>
              <m:e>
                <m:r>
                  <m:t>F</m:t>
                </m:r>
              </m:e>
              <m:sub>
                <m:r>
                  <m:t>h</m:t>
                </m:r>
              </m:sub>
            </m:sSub>
          </m:num>
          <m:den>
            <m:r>
              <m:t>V</m:t>
            </m:r>
            <m:r>
              <m:t>s</m:t>
            </m:r>
            <m:sSub>
              <m:e>
                <m:r>
                  <m:t>s</m:t>
                </m:r>
              </m:e>
              <m:sub>
                <m:r>
                  <m:t>u</m:t>
                </m:r>
              </m:sub>
            </m:sSub>
          </m:den>
        </m:f>
      </m:oMath>
      <w:r>
        <w:t xml:space="preserve">:</w:t>
      </w:r>
      <w:r>
        <w:t xml:space="preserve"> </w:t>
      </w:r>
      <m:oMath>
        <m:r>
          <m:t>F</m:t>
        </m:r>
        <m:sSub>
          <m:e>
            <m:r>
              <m:t>u</m:t>
            </m:r>
          </m:e>
          <m:sub>
            <m:r>
              <m:t>p</m:t>
            </m:r>
            <m:r>
              <m:t>l</m:t>
            </m:r>
            <m:r>
              <m:t>a</m:t>
            </m:r>
            <m:r>
              <m:t>s</m:t>
            </m:r>
            <m:r>
              <m:t>m</m:t>
            </m:r>
            <m:r>
              <m:t>a</m:t>
            </m:r>
          </m:sub>
        </m:sSub>
      </m:oMath>
      <w:r>
        <w:t xml:space="preserve"> </w:t>
      </w:r>
      <w:r>
        <w:t xml:space="preserve">cancels, recovering the</w:t>
      </w:r>
      <w:r>
        <w:t xml:space="preserve"> </w:t>
      </w:r>
      <w:r>
        <w:t xml:space="preserve">app’s formula. Even though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is built from</w:t>
      </w:r>
      <w:r>
        <w:t xml:space="preserve"> </w:t>
      </w:r>
      <w:r>
        <w:rPr>
          <w:iCs/>
          <w:i/>
        </w:rPr>
        <w:t xml:space="preserve">blood</w:t>
      </w:r>
      <w:r>
        <w:t xml:space="preserve"> </w:t>
      </w:r>
      <w:r>
        <w:t xml:space="preserve">fu and</w:t>
      </w:r>
      <w:r>
        <w:t xml:space="preserve"> </w:t>
      </w:r>
      <m:oMath>
        <m:r>
          <m:t>V</m:t>
        </m:r>
        <m:r>
          <m:t>s</m:t>
        </m:r>
        <m:sSub>
          <m:e>
            <m:r>
              <m:t>s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from</w:t>
      </w:r>
      <w:r>
        <w:t xml:space="preserve"> </w:t>
      </w:r>
      <w:r>
        <w:rPr>
          <w:iCs/>
          <w:i/>
        </w:rPr>
        <w:t xml:space="preserve">plasma</w:t>
      </w:r>
      <w:r>
        <w:t xml:space="preserve"> </w:t>
      </w:r>
      <w:r>
        <w:t xml:space="preserve">fu, the</w:t>
      </w:r>
      <w:r>
        <w:t xml:space="preserve"> </w:t>
      </w:r>
      <w:r>
        <w:t xml:space="preserve">two don’t need to match, because step 1 already converts between them.</w:t>
      </w:r>
    </w:p>
    <w:bookmarkEnd w:id="91"/>
    <w:bookmarkStart w:id="92" w:name="terminal-half-life"/>
    <w:p>
      <w:pPr>
        <w:pStyle w:val="Heading2"/>
      </w:pPr>
      <w:r>
        <w:rPr>
          <w:rStyle w:val="SectionNumber"/>
        </w:rPr>
        <w:t xml:space="preserve">2.6</w:t>
      </w:r>
      <w:r>
        <w:tab/>
      </w:r>
      <w:r>
        <w:t xml:space="preserve">Terminal Half-Life</w:t>
      </w:r>
    </w:p>
    <w:p>
      <w:pPr>
        <w:pStyle w:val="FirstParagraph"/>
      </w:pPr>
      <w:r>
        <w:t xml:space="preserve">Each route’s dose table reports three separate half-lives, all in days: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Absorption half-life</w:t>
      </w:r>
      <w:r>
        <w:t xml:space="preserve">: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r>
              <m:t>a</m:t>
            </m:r>
            <m:r>
              <m:t>b</m:t>
            </m:r>
            <m:r>
              <m:t>s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/</m:t>
        </m:r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, using the route’s own absorption rate</w:t>
      </w:r>
      <w:r>
        <w:t xml:space="preserve"> </w:t>
      </w:r>
      <w:r>
        <w:t xml:space="preserve">(</w:t>
      </w:r>
      <m:oMath>
        <m:sSub>
          <m:e>
            <m:r>
              <m:t>k</m:t>
            </m:r>
          </m:e>
          <m:sub>
            <m:r>
              <m:t>a</m:t>
            </m:r>
            <m:r>
              <m:rPr>
                <m:sty m:val="p"/>
              </m:rPr>
              <m:t>,</m:t>
            </m:r>
            <m:r>
              <m:t>o</m:t>
            </m:r>
            <m:r>
              <m:t>r</m:t>
            </m:r>
            <m:r>
              <m:t>a</m:t>
            </m:r>
            <m:r>
              <m:t>l</m:t>
            </m:r>
          </m:sub>
        </m:sSub>
      </m:oMath>
      <w:r>
        <w:t xml:space="preserve">, default 1/h, or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  <m:r>
              <m:t>A</m:t>
            </m:r>
            <m:r>
              <m:t>I</m:t>
            </m:r>
          </m:sub>
        </m:sSub>
      </m:oMath>
      <w:r>
        <w:t xml:space="preserve">, default</w:t>
      </w:r>
      <w:r>
        <w:t xml:space="preserve"> </w:t>
      </w:r>
      <m:oMath>
        <m:r>
          <m:t>2.98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/h - the estimated</w:t>
      </w:r>
      <w:r>
        <w:t xml:space="preserve"> </w:t>
      </w:r>
      <w:r>
        <w:t xml:space="preserve">absorption rate of medroxyprogesterone acetate, the fastest-absorbing intramuscular aqueous</w:t>
      </w:r>
      <w:r>
        <w:t xml:space="preserve"> </w:t>
      </w:r>
      <w:r>
        <w:t xml:space="preserve">suspension known). Route-specific, but the same for both Vss sources of a given compound (it</w:t>
      </w:r>
      <w:r>
        <w:t xml:space="preserve"> </w:t>
      </w:r>
      <w:r>
        <w:t xml:space="preserve">doesn’t depend on</w:t>
      </w:r>
      <w:r>
        <w:t xml:space="preserve"> </w:t>
      </w:r>
      <m:oMath>
        <m:r>
          <m:t>V</m:t>
        </m:r>
        <m:r>
          <m:t>s</m:t>
        </m:r>
        <m:sSub>
          <m:e>
            <m:r>
              <m:t>s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or clearance at all).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Elimination half-life</w:t>
      </w:r>
      <w:r>
        <w:t xml:space="preserve">: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r>
              <m:t>e</m:t>
            </m:r>
            <m:r>
              <m:t>l</m:t>
            </m:r>
            <m:r>
              <m:t>i</m:t>
            </m:r>
            <m:r>
              <m:t>m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/</m:t>
        </m:r>
        <m:sSub>
          <m:e>
            <m:r>
              <m:t>k</m:t>
            </m:r>
          </m:e>
          <m:sub>
            <m:r>
              <m:t>e</m:t>
            </m:r>
          </m:sub>
        </m:sSub>
      </m:oMath>
      <w:r>
        <w:t xml:space="preserve">, using the route-independent</w:t>
      </w:r>
      <w:r>
        <w:t xml:space="preserve"> </w:t>
      </w:r>
      <m:oMath>
        <m:sSub>
          <m:e>
            <m:r>
              <m:t>k</m:t>
            </m:r>
          </m:e>
          <m:sub>
            <m:r>
              <m:t>e</m:t>
            </m:r>
          </m:sub>
        </m:sSub>
      </m:oMath>
      <w:r>
        <w:t xml:space="preserve"> </w:t>
      </w:r>
      <w:r>
        <w:t xml:space="preserve">from the previous section. The same value feeds both the Oral dose and LAI dose tables.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Terminal half-life</w:t>
      </w:r>
      <w:r>
        <w:t xml:space="preserve">: the half-life that actually governs the terminal (long-time) phase of</w:t>
      </w:r>
      <w:r>
        <w:t xml:space="preserve"> </w:t>
      </w:r>
      <w:r>
        <w:t xml:space="preserve">the concentration-time curve - set by whichever of absorption or elimination is</w:t>
      </w:r>
      <w:r>
        <w:t xml:space="preserve"> </w:t>
      </w:r>
      <w:r>
        <w:rPr>
          <w:iCs/>
          <w:i/>
        </w:rPr>
        <w:t xml:space="preserve">slower</w:t>
      </w:r>
      <w:r>
        <w:t xml:space="preserve"> </w:t>
      </w:r>
      <w:r>
        <w:t xml:space="preserve">(</w:t>
      </w:r>
      <w:r>
        <w:t xml:space="preserve">“</w:t>
      </w:r>
      <w:r>
        <w:t xml:space="preserve">rate-limiting</w:t>
      </w:r>
      <w:r>
        <w:t xml:space="preserve">”</w:t>
      </w:r>
      <w:r>
        <w:t xml:space="preserve">) for that route: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r>
              <m:t>t</m:t>
            </m:r>
            <m:r>
              <m:t>e</m:t>
            </m:r>
            <m:r>
              <m:t>r</m:t>
            </m:r>
            <m:r>
              <m:t>m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/</m:t>
        </m:r>
        <m:r>
          <m:rPr>
            <m:sty m:val="p"/>
          </m:rPr>
          <m:t>min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k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k</m:t>
                </m:r>
              </m:e>
              <m:sub>
                <m:r>
                  <m:t>e</m:t>
                </m:r>
              </m:sub>
            </m:sSub>
          </m:e>
        </m:d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Where</w:t>
      </w:r>
      <w:r>
        <w:rPr>
          <w:bCs/>
          <w:b/>
        </w:rPr>
        <w:t xml:space="preserve"> </w:t>
      </w:r>
      <m:oMath>
        <m:r>
          <m:rPr>
            <m:sty m:val="p"/>
          </m:rPr>
          <m:t>min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k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k</m:t>
                </m:r>
              </m:e>
              <m:sub>
                <m:r>
                  <m:t>e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comes from.</w:t>
      </w:r>
      <w:r>
        <w:t xml:space="preserve"> </w:t>
      </w:r>
      <w:r>
        <w:t xml:space="preserve">Chapter</w:t>
      </w:r>
      <w:r>
        <w:t xml:space="preserve"> </w:t>
      </w:r>
      <w:r>
        <w:t xml:space="preserve">3</w:t>
      </w:r>
      <w:r>
        <w:t xml:space="preserve">’s single-dose concentration</w:t>
      </w:r>
      <w:r>
        <w:t xml:space="preserve"> </w:t>
      </w:r>
      <w:r>
        <w:t xml:space="preserve">curve (</w:t>
      </w:r>
      <w:r>
        <w:t xml:space="preserve">3.2.1</w:t>
      </w:r>
      <w:r>
        <w:t xml:space="preserve">) is a difference of two exponentials: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C</m:t>
              </m:r>
            </m:e>
            <m:sub>
              <m:r>
                <m:t>1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⋅</m:t>
              </m:r>
              <m:r>
                <m:t>D</m:t>
              </m:r>
              <m:r>
                <m:t>o</m:t>
              </m:r>
              <m:r>
                <m:t>s</m:t>
              </m:r>
              <m:r>
                <m:t>e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k</m:t>
                  </m:r>
                </m:e>
                <m:sub>
                  <m:r>
                    <m:t>a</m:t>
                  </m:r>
                </m:sub>
              </m:sSub>
            </m:num>
            <m:den>
              <m:r>
                <m:t>V</m:t>
              </m:r>
              <m:r>
                <m:t>s</m:t>
              </m:r>
              <m:r>
                <m:t>s</m:t>
              </m:r>
              <m:r>
                <m:rPr>
                  <m:sty m:val="p"/>
                </m:rPr>
                <m:t>⋅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k</m:t>
                      </m:r>
                    </m:e>
                    <m:sub>
                      <m:r>
                        <m:t>a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e</m:t>
                      </m:r>
                    </m:sub>
                  </m:sSub>
                </m:e>
              </m:d>
            </m:den>
          </m:f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e</m:t>
                      </m:r>
                    </m:sub>
                  </m:sSub>
                  <m:r>
                    <m:t>t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a</m:t>
                      </m:r>
                    </m:sub>
                  </m:sSub>
                  <m:r>
                    <m:t>t</m:t>
                  </m:r>
                </m:sup>
              </m:sSup>
            </m:e>
          </m:d>
        </m:oMath>
      </m:oMathPara>
    </w:p>
    <w:p>
      <w:pPr>
        <w:pStyle w:val="FirstParagraph"/>
      </w:pPr>
      <w:r>
        <w:t xml:space="preserve">At large</w:t>
      </w:r>
      <w:r>
        <w:t xml:space="preserve"> </w:t>
      </w:r>
      <m:oMath>
        <m:r>
          <m:t>t</m:t>
        </m:r>
      </m:oMath>
      <w:r>
        <w:t xml:space="preserve">, whichever of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b>
              <m:e>
                <m:r>
                  <m:t>k</m:t>
                </m:r>
              </m:e>
              <m:sub>
                <m:r>
                  <m:t>e</m:t>
                </m:r>
              </m:sub>
            </m:sSub>
            <m:r>
              <m:t>t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b>
              <m:e>
                <m:r>
                  <m:t>k</m:t>
                </m:r>
              </m:e>
              <m:sub>
                <m:r>
                  <m:t>a</m:t>
                </m:r>
              </m:sub>
            </m:sSub>
            <m:r>
              <m:t>t</m:t>
            </m:r>
          </m:sup>
        </m:sSup>
      </m:oMath>
      <w:r>
        <w:t xml:space="preserve"> </w:t>
      </w:r>
      <w:r>
        <w:t xml:space="preserve">has the</w:t>
      </w:r>
      <w:r>
        <w:t xml:space="preserve"> </w:t>
      </w:r>
      <w:r>
        <w:rPr>
          <w:iCs/>
          <w:i/>
        </w:rPr>
        <w:t xml:space="preserve">larger</w:t>
      </w:r>
      <w:r>
        <w:t xml:space="preserve"> </w:t>
      </w:r>
      <w:r>
        <w:t xml:space="preserve">rate constant decays to</w:t>
      </w:r>
      <w:r>
        <w:t xml:space="preserve"> </w:t>
      </w:r>
      <w:r>
        <w:t xml:space="preserve">zero first, leaving the other term to dominate the curve - so for large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≈</m:t>
        </m:r>
        <m:r>
          <m:rPr>
            <m:nor/>
            <m:sty m:val="p"/>
          </m:rPr>
          <m:t>const</m:t>
        </m:r>
        <m:r>
          <m:rPr>
            <m:sty m:val="p"/>
          </m:rPr>
          <m:t>×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rPr>
                <m:sty m:val="p"/>
              </m:rPr>
              <m:t>min</m:t>
            </m:r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k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k</m:t>
                    </m:r>
                  </m:e>
                  <m:sub>
                    <m:r>
                      <m:t>e</m:t>
                    </m:r>
                  </m:sub>
                </m:sSub>
              </m:e>
            </m:d>
            <m:r>
              <m:t> </m:t>
            </m:r>
            <m:r>
              <m:t>t</m:t>
            </m:r>
          </m:sup>
        </m:sSup>
      </m:oMath>
      <w:r>
        <w:t xml:space="preserve">. The terminal phase is therefore a</w:t>
      </w:r>
      <w:r>
        <w:t xml:space="preserve"> </w:t>
      </w:r>
      <w:r>
        <w:t xml:space="preserve">simple, single exponential decline governed by whichever rate is</w:t>
      </w:r>
      <w:r>
        <w:t xml:space="preserve"> </w:t>
      </w:r>
      <w:r>
        <w:rPr>
          <w:iCs/>
          <w:i/>
        </w:rPr>
        <w:t xml:space="preserve">smaller</w:t>
      </w:r>
      <w:r>
        <w:t xml:space="preserve"> </w:t>
      </w:r>
      <w:r>
        <w:t xml:space="preserve">(slower) - the</w:t>
      </w:r>
      <w:r>
        <w:t xml:space="preserve"> </w:t>
      </w:r>
      <w:r>
        <w:t xml:space="preserve">rate-limiting one - giving the terminal half-life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r>
              <m:t>t</m:t>
            </m:r>
            <m:r>
              <m:t>e</m:t>
            </m:r>
            <m:r>
              <m:t>r</m:t>
            </m:r>
            <m:r>
              <m:t>m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/</m:t>
        </m:r>
        <m:r>
          <m:rPr>
            <m:sty m:val="p"/>
          </m:rPr>
          <m:t>min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k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k</m:t>
                </m:r>
              </m:e>
              <m:sub>
                <m:r>
                  <m:t>e</m:t>
                </m:r>
              </m:sub>
            </m:sSub>
          </m:e>
        </m:d>
      </m:oMath>
      <w:r>
        <w:t xml:space="preserve"> </w:t>
      </w:r>
      <w:r>
        <w:t xml:space="preserve">above.</w:t>
      </w:r>
    </w:p>
    <w:p>
      <w:pPr>
        <w:pStyle w:val="BodyText"/>
      </w:pPr>
      <w:r>
        <w:t xml:space="preserve">Oral usually has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  <m:r>
              <m:rPr>
                <m:sty m:val="p"/>
              </m:rPr>
              <m:t>,</m:t>
            </m:r>
            <m:r>
              <m:t>o</m:t>
            </m:r>
            <m:r>
              <m:t>r</m:t>
            </m:r>
            <m:r>
              <m:t>a</m:t>
            </m:r>
            <m:r>
              <m:t>l</m:t>
            </m:r>
          </m:sub>
        </m:sSub>
        <m:r>
          <m:rPr>
            <m:sty m:val="p"/>
          </m:rPr>
          <m:t>≫</m:t>
        </m:r>
        <m:sSub>
          <m:e>
            <m:r>
              <m:t>k</m:t>
            </m:r>
          </m:e>
          <m:sub>
            <m:r>
              <m:t>e</m:t>
            </m:r>
          </m:sub>
        </m:sSub>
      </m:oMath>
      <w:r>
        <w:t xml:space="preserve">, so its terminal half-life usually equals the elimination</w:t>
      </w:r>
      <w:r>
        <w:t xml:space="preserve"> </w:t>
      </w:r>
      <w:r>
        <w:t xml:space="preserve">half-life; LAI usually has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  <m:r>
              <m:t>A</m:t>
            </m:r>
            <m:r>
              <m:t>I</m:t>
            </m:r>
          </m:sub>
        </m:sSub>
        <m:r>
          <m:rPr>
            <m:sty m:val="p"/>
          </m:rPr>
          <m:t>≪</m:t>
        </m:r>
        <m:sSub>
          <m:e>
            <m:r>
              <m:t>k</m:t>
            </m:r>
          </m:e>
          <m:sub>
            <m:r>
              <m:t>e</m:t>
            </m:r>
          </m:sub>
        </m:sSub>
      </m:oMath>
      <w:r>
        <w:t xml:space="preserve"> </w:t>
      </w:r>
      <w:r>
        <w:t xml:space="preserve">(</w:t>
      </w:r>
      <w:r>
        <w:t xml:space="preserve">“</w:t>
      </w:r>
      <w:r>
        <w:t xml:space="preserve">flip-flop</w:t>
      </w:r>
      <w:r>
        <w:t xml:space="preserve">”</w:t>
      </w:r>
      <w:r>
        <w:t xml:space="preserve"> </w:t>
      </w:r>
      <w:r>
        <w:t xml:space="preserve">kinetics), so its terminal half-life</w:t>
      </w:r>
      <w:r>
        <w:t xml:space="preserve"> </w:t>
      </w:r>
      <w:r>
        <w:t xml:space="preserve">usually equals the absorption half-life and is essentially fixed across compounds. Both are only</w:t>
      </w:r>
      <w:r>
        <w:t xml:space="preserve"> </w:t>
      </w:r>
      <w:r>
        <w:t xml:space="preserve">the</w:t>
      </w:r>
      <w:r>
        <w:t xml:space="preserve"> </w:t>
      </w:r>
      <w:r>
        <w:rPr>
          <w:iCs/>
          <w:i/>
        </w:rPr>
        <w:t xml:space="preserve">usual</w:t>
      </w:r>
      <w:r>
        <w:t xml:space="preserve"> </w:t>
      </w:r>
      <w:r>
        <w:t xml:space="preserve">case, though - MMVFree computes the actual</w:t>
      </w:r>
      <w:r>
        <w:t xml:space="preserve"> </w:t>
      </w:r>
      <m:oMath>
        <m:r>
          <m:rPr>
            <m:sty m:val="p"/>
          </m:rPr>
          <m:t>min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k</m:t>
                </m:r>
              </m:e>
              <m:sub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t>r</m:t>
                </m:r>
                <m:r>
                  <m:t>a</m:t>
                </m:r>
                <m:r>
                  <m:t>l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k</m:t>
                </m:r>
              </m:e>
              <m:sub>
                <m:r>
                  <m:t>e</m:t>
                </m:r>
              </m:sub>
            </m:sSub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min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k</m:t>
                </m:r>
              </m:e>
              <m:sub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t>A</m:t>
                </m:r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k</m:t>
                </m:r>
              </m:e>
              <m:sub>
                <m:r>
                  <m:t>e</m:t>
                </m:r>
              </m:sub>
            </m:sSub>
          </m:e>
        </m:d>
      </m:oMath>
      <w:r>
        <w:t xml:space="preserve"> </w:t>
      </w:r>
      <w:r>
        <w:t xml:space="preserve">per compound rather than assuming which rate applies by route, so an</w:t>
      </w:r>
      <w:r>
        <w:t xml:space="preserve"> </w:t>
      </w:r>
      <w:r>
        <w:t xml:space="preserve">atypical compound (e.g. unusually slow oral absorption, or unusually slow elimination) can have</w:t>
      </w:r>
      <w:r>
        <w:t xml:space="preserve"> </w:t>
      </w:r>
      <w:r>
        <w:t xml:space="preserve">its terminal half-life governed by the other rate instead, for either route.</w:t>
      </w:r>
    </w:p>
    <w:bookmarkEnd w:id="92"/>
    <w:bookmarkStart w:id="93" w:name="unbound-potency-micu"/>
    <w:p>
      <w:pPr>
        <w:pStyle w:val="Heading2"/>
      </w:pPr>
      <w:r>
        <w:rPr>
          <w:rStyle w:val="SectionNumber"/>
        </w:rPr>
        <w:t xml:space="preserve">2.7</w:t>
      </w:r>
      <w:r>
        <w:tab/>
      </w:r>
      <w:r>
        <w:t xml:space="preserve">Unbound Potency (MIC</w:t>
      </w:r>
      <w:r>
        <w:rPr>
          <w:vertAlign w:val="subscript"/>
        </w:rPr>
        <w:t xml:space="preserve">u</w:t>
      </w:r>
      <w:r>
        <w:t xml:space="preserve">)</w:t>
      </w:r>
    </w:p>
    <w:p>
      <w:pPr>
        <w:pStyle w:val="FirstParagraph"/>
      </w:pPr>
      <w:r>
        <w:t xml:space="preserve">Potency is predicted from in vitro assay data via the following chain: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Unbound IC50</w:t>
      </w:r>
      <w:r>
        <w:t xml:space="preserve">:</w:t>
      </w:r>
      <w:r>
        <w:t xml:space="preserve"> </w:t>
      </w:r>
      <m:oMath>
        <m:r>
          <m:t>I</m:t>
        </m:r>
        <m:r>
          <m:t>C</m:t>
        </m:r>
        <m:sSub>
          <m:e>
            <m:r>
              <m:t>50</m:t>
            </m:r>
          </m:e>
          <m:sub>
            <m:r>
              <m:t>u</m:t>
            </m:r>
          </m:sub>
        </m:sSub>
        <m:r>
          <m:rPr>
            <m:sty m:val="p"/>
          </m:rPr>
          <m:t>=</m:t>
        </m:r>
        <m:r>
          <m:t>I</m:t>
        </m:r>
        <m:r>
          <m:t>C</m:t>
        </m:r>
        <m:r>
          <m:t>50</m:t>
        </m:r>
        <m:r>
          <m:rPr>
            <m:sty m:val="p"/>
          </m:rPr>
          <m:t>×</m:t>
        </m:r>
        <m:r>
          <m:t>F</m:t>
        </m:r>
        <m:sSub>
          <m:e>
            <m:r>
              <m:t>u</m:t>
            </m:r>
          </m:e>
          <m:sub>
            <m:r>
              <m:t>A</m:t>
            </m:r>
            <m:r>
              <m:t>l</m:t>
            </m:r>
            <m:r>
              <m:t>b</m:t>
            </m:r>
            <m:r>
              <m:t>u</m:t>
            </m:r>
            <m:r>
              <m:t>m</m:t>
            </m:r>
            <m:r>
              <m:t>a</m:t>
            </m:r>
            <m:r>
              <m:t>x</m:t>
            </m:r>
          </m:sub>
        </m:sSub>
      </m:oMath>
      <w:r>
        <w:t xml:space="preserve">, correcting the assay IC50 for binding</w:t>
      </w:r>
      <w:r>
        <w:t xml:space="preserve"> </w:t>
      </w:r>
      <w:r>
        <w:t xml:space="preserve">in the Albumax-supplemented in vitro growth medium.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</w:t>
      </w:r>
      <w:r>
        <w:rPr>
          <w:vertAlign w:val="subscript"/>
          <w:bCs/>
          <w:b/>
        </w:rPr>
        <w:t xml:space="preserve">max</w:t>
      </w:r>
      <w:r>
        <w:t xml:space="preserve">: derived from the in vitro 48h parasite reduction ratio (PRR) via the parasite</w:t>
      </w:r>
      <w:r>
        <w:t xml:space="preserve"> </w:t>
      </w:r>
      <w:r>
        <w:t xml:space="preserve">growth rate observed in vitro.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Human blood EC50 and Hill coefficient</w:t>
      </w:r>
      <w:r>
        <w:t xml:space="preserve">: predicted from the in vitro IC50/PRR/Hill inputs,</w:t>
      </w:r>
      <w:r>
        <w:t xml:space="preserve"> </w:t>
      </w:r>
      <w:r>
        <w:t xml:space="preserve">correcting for plasma and Albumax binding, blood-to-plasma ratio, and molecular weight.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Minimum inhibitory concentration</w:t>
      </w:r>
      <w:r>
        <w:t xml:space="preserve">: solved from the E</w:t>
      </w:r>
      <w:r>
        <w:rPr>
          <w:vertAlign w:val="subscript"/>
        </w:rPr>
        <w:t xml:space="preserve">max</w:t>
      </w:r>
      <w:r>
        <w:t xml:space="preserve"> </w:t>
      </w:r>
      <w:r>
        <w:t xml:space="preserve">model at the in vivo parasite</w:t>
      </w:r>
      <w:r>
        <w:t xml:space="preserve"> </w:t>
      </w:r>
      <w:r>
        <w:t xml:space="preserve">growth rate, then divided by BPratio to convert from blood to plasma concentration.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MIC</w:t>
      </w:r>
      <w:r>
        <w:rPr>
          <w:vertAlign w:val="subscript"/>
          <w:bCs/>
          <w:b/>
        </w:rPr>
        <w:t xml:space="preserve">u</w:t>
      </w:r>
      <w:r>
        <w:t xml:space="preserve">: the plasma MIC converted to unbound, nM units:</w:t>
      </w:r>
    </w:p>
    <w:p>
      <w:pPr>
        <w:pStyle w:val="Compact"/>
      </w:pPr>
      <m:oMathPara>
        <m:oMathParaPr>
          <m:jc m:val="center"/>
        </m:oMathParaPr>
        <m:oMath>
          <m:r>
            <m:t>M</m:t>
          </m:r>
          <m:r>
            <m:t>I</m:t>
          </m:r>
          <m:sSub>
            <m:e>
              <m:r>
                <m:t>C</m:t>
              </m:r>
            </m:e>
            <m:sub>
              <m:r>
                <m:t>u</m:t>
              </m:r>
            </m:sub>
          </m:sSub>
          <m:r>
            <m:t> </m:t>
          </m:r>
          <m:d>
            <m:dPr>
              <m:begChr m:val="["/>
              <m:endChr m:val="]"/>
              <m:sepChr m:val=""/>
              <m:grow/>
            </m:dPr>
            <m:e>
              <m:r>
                <m:rPr>
                  <m:nor/>
                  <m:sty m:val="p"/>
                </m:rPr>
                <m:t>nM</m:t>
              </m:r>
            </m:e>
          </m:d>
          <m:r>
            <m:rPr>
              <m:sty m:val="p"/>
            </m:rPr>
            <m:t>=</m:t>
          </m:r>
          <m:r>
            <m:t>M</m:t>
          </m:r>
          <m:r>
            <m:t>I</m:t>
          </m:r>
          <m:sSub>
            <m:e>
              <m:r>
                <m:t>C</m:t>
              </m:r>
            </m:e>
            <m:sub>
              <m:r>
                <m:t>p</m:t>
              </m:r>
              <m:r>
                <m:t>l</m:t>
              </m:r>
              <m:r>
                <m:t>a</m:t>
              </m:r>
              <m:r>
                <m:t>s</m:t>
              </m:r>
              <m:r>
                <m:t>m</m:t>
              </m:r>
              <m:r>
                <m:t>a</m:t>
              </m:r>
            </m:sub>
          </m:sSub>
          <m:r>
            <m:t> </m:t>
          </m:r>
          <m:d>
            <m:dPr>
              <m:begChr m:val="["/>
              <m:endChr m:val="]"/>
              <m:sepChr m:val=""/>
              <m:grow/>
            </m:dPr>
            <m:e>
              <m:r>
                <m:rPr>
                  <m:nor/>
                  <m:sty m:val="p"/>
                </m:rPr>
                <m:t>ng/mL</m:t>
              </m:r>
            </m:e>
          </m:d>
          <m:r>
            <m:rPr>
              <m:sty m:val="p"/>
            </m:rPr>
            <m:t>×</m:t>
          </m:r>
          <m:r>
            <m:t>F</m:t>
          </m:r>
          <m:sSub>
            <m:e>
              <m:r>
                <m:t>u</m:t>
              </m:r>
            </m:e>
            <m:sub>
              <m:r>
                <m:t>p</m:t>
              </m:r>
              <m:r>
                <m:t>l</m:t>
              </m:r>
              <m:r>
                <m:t>a</m:t>
              </m:r>
              <m:r>
                <m:t>s</m:t>
              </m:r>
              <m:r>
                <m:t>m</m:t>
              </m:r>
              <m:r>
                <m:t>a</m:t>
              </m:r>
            </m:sub>
          </m:sSub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1000</m:t>
              </m:r>
            </m:num>
            <m:den>
              <m:r>
                <m:t>M</m:t>
              </m:r>
              <m:r>
                <m:t>W</m:t>
              </m:r>
            </m:den>
          </m:f>
        </m:oMath>
      </m:oMathPara>
    </w:p>
    <w:bookmarkEnd w:id="93"/>
    <w:bookmarkStart w:id="94" w:name="supplementary-diagnostics"/>
    <w:p>
      <w:pPr>
        <w:pStyle w:val="Heading2"/>
      </w:pPr>
      <w:r>
        <w:rPr>
          <w:rStyle w:val="SectionNumber"/>
        </w:rPr>
        <w:t xml:space="preserve">2.8</w:t>
      </w:r>
      <w:r>
        <w:tab/>
      </w:r>
      <w:r>
        <w:t xml:space="preserve">Supplementary Diagnostics</w:t>
      </w:r>
    </w:p>
    <w:p>
      <w:pPr>
        <w:pStyle w:val="FirstParagraph"/>
      </w:pPr>
      <w:r>
        <w:t xml:space="preserve">Two additional derived quantities are shown for reference, not used directly in dose prediction: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VLE</w:t>
      </w:r>
      <w:r>
        <w:t xml:space="preserve"> </w:t>
      </w:r>
      <w:r>
        <w:t xml:space="preserve">(volume-ligand efficiency,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10</m:t>
            </m:r>
          </m:sub>
        </m:sSub>
      </m:oMath>
      <w:r>
        <w:t xml:space="preserve"> </w:t>
      </w:r>
      <w:r>
        <w:t xml:space="preserve">moles):</w:t>
      </w:r>
      <w:r>
        <w:t xml:space="preserve"> </w:t>
      </w:r>
      <m:oMath>
        <m:r>
          <m:t>V</m:t>
        </m:r>
        <m:r>
          <m:t>L</m:t>
        </m:r>
        <m:r>
          <m:t>E</m:t>
        </m:r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10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t>I</m:t>
            </m:r>
            <m:sSub>
              <m:e>
                <m:r>
                  <m:t>C</m:t>
                </m:r>
              </m:e>
              <m:sub>
                <m:r>
                  <m:t>u</m:t>
                </m:r>
              </m:sub>
            </m:sSub>
            <m:r>
              <m:rPr>
                <m:sty m:val="p"/>
              </m:rPr>
              <m:t>/</m:t>
            </m:r>
            <m:sSup>
              <m:e>
                <m:r>
                  <m:t>10</m:t>
                </m:r>
              </m:e>
              <m:sup>
                <m:r>
                  <m:t>9</m:t>
                </m:r>
              </m:sup>
            </m:sSup>
          </m:e>
        </m:d>
        <m:r>
          <m:rPr>
            <m:sty m:val="p"/>
          </m:rPr>
          <m:t>−</m:t>
        </m:r>
        <m:sSub>
          <m:e>
            <m:r>
              <m:rPr>
                <m:sty m:val="p"/>
              </m:rPr>
              <m:t>log</m:t>
            </m:r>
          </m:e>
          <m:sub>
            <m:r>
              <m:t>10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V</m:t>
            </m:r>
            <m:r>
              <m:t>s</m:t>
            </m:r>
            <m:sSub>
              <m:e>
                <m:r>
                  <m:t>s</m:t>
                </m:r>
              </m:e>
              <m:sub>
                <m:r>
                  <m:t>u</m:t>
                </m:r>
              </m:sub>
            </m:sSub>
            <m:r>
              <m:rPr>
                <m:sty m:val="p"/>
              </m:rPr>
              <m:t>/</m:t>
            </m:r>
            <m:r>
              <m:t>B</m:t>
            </m:r>
            <m:r>
              <m:t>W</m:t>
            </m:r>
          </m:e>
        </m:d>
      </m:oMath>
      <w:r>
        <w:t xml:space="preserve">, a potency/distribution efficiency metric independent of clearance.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Zero CL dose</w:t>
      </w:r>
      <w:r>
        <w:t xml:space="preserve">: the hypothetical dose that would be needed to reach</w:t>
      </w:r>
      <w:r>
        <w:t xml:space="preserve"> </w:t>
      </w:r>
      <m:oMath>
        <m:r>
          <m:t>M</m:t>
        </m:r>
        <m:r>
          <m:t>I</m:t>
        </m:r>
        <m:sSub>
          <m:e>
            <m:r>
              <m:t>C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if the compound</w:t>
      </w:r>
      <w:r>
        <w:t xml:space="preserve"> </w:t>
      </w:r>
      <w:r>
        <w:t xml:space="preserve">had zero clearance,</w:t>
      </w:r>
      <w:r>
        <w:t xml:space="preserve"> </w:t>
      </w:r>
      <m:oMath>
        <m:r>
          <m:rPr>
            <m:sty m:val="p"/>
          </m:rPr>
          <m:t>=</m:t>
        </m:r>
        <m:r>
          <m:t>M</m:t>
        </m:r>
        <m:r>
          <m:t>I</m:t>
        </m:r>
        <m:sSub>
          <m:e>
            <m:r>
              <m:t>C</m:t>
            </m:r>
          </m:e>
          <m:sub>
            <m:r>
              <m:t>u</m:t>
            </m:r>
          </m:sub>
        </m:sSub>
        <m:r>
          <m:t> </m:t>
        </m:r>
        <m:d>
          <m:dPr>
            <m:begChr m:val="["/>
            <m:endChr m:val="]"/>
            <m:sepChr m:val=""/>
            <m:grow/>
          </m:dPr>
          <m:e>
            <m:r>
              <m:rPr>
                <m:nor/>
                <m:sty m:val="p"/>
              </m:rPr>
              <m:t>mg/L</m:t>
            </m:r>
          </m:e>
        </m:d>
        <m:r>
          <m:rPr>
            <m:sty m:val="p"/>
          </m:rPr>
          <m:t>×</m:t>
        </m:r>
        <m:r>
          <m:t>V</m:t>
        </m:r>
        <m:r>
          <m:t>s</m:t>
        </m:r>
        <m:sSub>
          <m:e>
            <m:r>
              <m:t>s</m:t>
            </m:r>
          </m:e>
          <m:sub>
            <m:r>
              <m:t>u</m:t>
            </m:r>
          </m:sub>
        </m:sSub>
        <m:r>
          <m:t> </m:t>
        </m:r>
        <m:d>
          <m:dPr>
            <m:begChr m:val="["/>
            <m:endChr m:val="]"/>
            <m:sepChr m:val=""/>
            <m:grow/>
          </m:dPr>
          <m:e>
            <m:r>
              <m:rPr>
                <m:nor/>
                <m:sty m:val="p"/>
              </m:rPr>
              <m:t>L</m:t>
            </m:r>
          </m:e>
        </m:d>
      </m:oMath>
      <w:r>
        <w:t xml:space="preserve"> </w:t>
      </w:r>
      <w:r>
        <w:t xml:space="preserve">- a lower bound on</w:t>
      </w:r>
      <w:r>
        <w:t xml:space="preserve"> </w:t>
      </w:r>
      <w:r>
        <w:t xml:space="preserve">achievable dose, useful for sanity-checking predictions dominated by a very high clearance.</w:t>
      </w:r>
    </w:p>
    <w:bookmarkEnd w:id="94"/>
    <w:bookmarkEnd w:id="95"/>
    <w:bookmarkStart w:id="109" w:name="dose-prediction"/>
    <w:p>
      <w:pPr>
        <w:pStyle w:val="Heading1"/>
      </w:pPr>
      <w:r>
        <w:rPr>
          <w:rStyle w:val="SectionNumber"/>
        </w:rPr>
        <w:t xml:space="preserve">3</w:t>
      </w:r>
      <w:r>
        <w:tab/>
      </w:r>
      <w:r>
        <w:t xml:space="preserve">Dose Prediction</w:t>
      </w:r>
    </w:p>
    <w:bookmarkStart w:id="96" w:name="dose-criterion"/>
    <w:p>
      <w:pPr>
        <w:pStyle w:val="Heading2"/>
      </w:pPr>
      <w:r>
        <w:rPr>
          <w:rStyle w:val="SectionNumber"/>
        </w:rPr>
        <w:t xml:space="preserve">3.1</w:t>
      </w:r>
      <w:r>
        <w:tab/>
      </w:r>
      <w:r>
        <w:t xml:space="preserve">Dose Criterion</w:t>
      </w:r>
    </w:p>
    <w:p>
      <w:pPr>
        <w:pStyle w:val="FirstParagraph"/>
      </w:pPr>
      <w:r>
        <w:t xml:space="preserve">For both routes, MMVFree predicts the smallest dose for which the</w:t>
      </w:r>
      <w:r>
        <w:t xml:space="preserve"> </w:t>
      </w:r>
      <w:r>
        <w:rPr>
          <w:bCs/>
          <w:b/>
        </w:rPr>
        <w:t xml:space="preserve">unbound</w:t>
      </w:r>
      <w:r>
        <w:t xml:space="preserve"> </w:t>
      </w:r>
      <w:r>
        <w:t xml:space="preserve">plasma</w:t>
      </w:r>
      <w:r>
        <w:t xml:space="preserve"> </w:t>
      </w:r>
      <w:r>
        <w:t xml:space="preserve">concentration stays at or above MIC</w:t>
      </w:r>
      <w:r>
        <w:rPr>
          <w:vertAlign w:val="subscript"/>
        </w:rPr>
        <w:t xml:space="preserve">u</w:t>
      </w:r>
      <w:r>
        <w:t xml:space="preserve"> </w:t>
      </w:r>
      <w:r>
        <w:t xml:space="preserve">(Chapter</w:t>
      </w:r>
      <w:r>
        <w:t xml:space="preserve"> </w:t>
      </w:r>
      <w:r>
        <w:t xml:space="preserve">2</w:t>
      </w:r>
      <w:r>
        <w:t xml:space="preserve">)</w:t>
      </w:r>
      <w:r>
        <w:t xml:space="preserve"> </w:t>
      </w:r>
      <w:r>
        <w:t xml:space="preserve">continuously for a user-specified duration - counted as a continuous window that must last at</w:t>
      </w:r>
      <w:r>
        <w:t xml:space="preserve"> </w:t>
      </w:r>
      <w:r>
        <w:t xml:space="preserve">least that long, starting from whenever concentration first reaches MIC</w:t>
      </w:r>
      <w:r>
        <w:rPr>
          <w:vertAlign w:val="subscript"/>
        </w:rPr>
        <w:t xml:space="preserve">u</w:t>
      </w:r>
      <w:r>
        <w:t xml:space="preserve"> </w:t>
      </w:r>
      <w:r>
        <w:t xml:space="preserve">(its onset), not from</w:t>
      </w:r>
      <w:r>
        <w:t xml:space="preserve"> </w:t>
      </w:r>
      <w:r>
        <w:t xml:space="preserve">a fixed, dose-independent point in time such as the end of the dosing regimen. The two routes</w:t>
      </w:r>
      <w:r>
        <w:t xml:space="preserve"> </w:t>
      </w:r>
      <w:r>
        <w:t xml:space="preserve">differ in how that duration and dosing regimen are specified: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Oral</w:t>
      </w:r>
      <w:r>
        <w:t xml:space="preserve">: a target duration (</w:t>
      </w:r>
      <w:r>
        <w:t xml:space="preserve">“</w:t>
      </w:r>
      <w:r>
        <w:t xml:space="preserve">MICu time</w:t>
      </w:r>
      <w:r>
        <w:t xml:space="preserve">”</w:t>
      </w:r>
      <w:r>
        <w:t xml:space="preserve">, in days), a number of doses, and a dosing interval</w:t>
      </w:r>
      <w:r>
        <w:t xml:space="preserve"> </w:t>
      </w:r>
      <w:r>
        <w:t xml:space="preserve">(daily/weekly/monthly) are all user-configurable in the sidebar.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LAI</w:t>
      </w:r>
      <w:r>
        <w:t xml:space="preserve">: a single administration is assumed (one dose, no repeat interval), for a</w:t>
      </w:r>
      <w:r>
        <w:t xml:space="preserve"> </w:t>
      </w:r>
      <w:r>
        <w:t xml:space="preserve">user-selected target duration of either 90 or 180 days.</w:t>
      </w:r>
    </w:p>
    <w:bookmarkEnd w:id="96"/>
    <w:bookmarkStart w:id="106" w:name="how-the-dose-is-predicted"/>
    <w:p>
      <w:pPr>
        <w:pStyle w:val="Heading2"/>
      </w:pPr>
      <w:r>
        <w:rPr>
          <w:rStyle w:val="SectionNumber"/>
        </w:rPr>
        <w:t xml:space="preserve">3.2</w:t>
      </w:r>
      <w:r>
        <w:tab/>
      </w:r>
      <w:r>
        <w:t xml:space="preserve">How the Dose Is Predicted</w:t>
      </w:r>
    </w:p>
    <w:bookmarkStart w:id="97" w:name="the-assumed-pk-model"/>
    <w:p>
      <w:pPr>
        <w:pStyle w:val="Heading3"/>
      </w:pPr>
      <w:r>
        <w:rPr>
          <w:rStyle w:val="SectionNumber"/>
        </w:rPr>
        <w:t xml:space="preserve">3.2.1</w:t>
      </w:r>
      <w:r>
        <w:tab/>
      </w:r>
      <w:r>
        <w:t xml:space="preserve">The Assumed PK Model</w:t>
      </w:r>
    </w:p>
    <w:p>
      <w:pPr>
        <w:pStyle w:val="FirstParagraph"/>
      </w:pPr>
      <w:r>
        <w:t xml:space="preserve">MMVFree assumes a one-compartment model with first-order absorption and first-order elimination</w:t>
      </w:r>
      <w:r>
        <w:t xml:space="preserve"> </w:t>
      </w:r>
      <w:r>
        <w:t xml:space="preserve">- drug enters a</w:t>
      </w:r>
      <w:r>
        <w:t xml:space="preserve"> </w:t>
      </w:r>
      <w:r>
        <w:t xml:space="preserve">“</w:t>
      </w:r>
      <w:r>
        <w:t xml:space="preserve">gut</w:t>
      </w:r>
      <w:r>
        <w:t xml:space="preserve">”</w:t>
      </w:r>
      <w:r>
        <w:t xml:space="preserve"> </w:t>
      </w:r>
      <w:r>
        <w:t xml:space="preserve">compartment, is absorbed into the central (blood/tissue) compartment at</w:t>
      </w:r>
      <w:r>
        <w:t xml:space="preserve"> </w:t>
      </w:r>
      <w:r>
        <w:t xml:space="preserve">rate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, and is eliminated from there at rate</w:t>
      </w:r>
      <w:r>
        <w:t xml:space="preserve"> </w:t>
      </w:r>
      <m:oMath>
        <m:sSub>
          <m:e>
            <m:r>
              <m:t>k</m:t>
            </m:r>
          </m:e>
          <m:sub>
            <m:r>
              <m:t>e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d</m:t>
              </m:r>
              <m:sSub>
                <m:e>
                  <m:r>
                    <m:t>A</m:t>
                  </m:r>
                </m:e>
                <m:sub>
                  <m:r>
                    <m:t>g</m:t>
                  </m:r>
                  <m:r>
                    <m:t>u</m:t>
                  </m:r>
                  <m:r>
                    <m:t>t</m:t>
                  </m:r>
                </m:sub>
              </m:sSub>
            </m:num>
            <m:den>
              <m:r>
                <m:t>d</m:t>
              </m:r>
              <m:r>
                <m:t>t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b>
            <m:e>
              <m:r>
                <m:t>k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⋅</m:t>
          </m:r>
          <m:sSub>
            <m:e>
              <m:r>
                <m:t>A</m:t>
              </m:r>
            </m:e>
            <m:sub>
              <m:r>
                <m:t>g</m:t>
              </m:r>
              <m:r>
                <m:t>u</m:t>
              </m:r>
              <m:r>
                <m:t>t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A</m:t>
              </m:r>
            </m:e>
            <m:sub>
              <m:r>
                <m:t>g</m:t>
              </m:r>
              <m:r>
                <m:t>u</m:t>
              </m:r>
              <m:r>
                <m:t>t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</m:e>
          </m:d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⋅</m:t>
          </m:r>
          <m:r>
            <m:t>D</m:t>
          </m:r>
          <m:r>
            <m:t>o</m:t>
          </m:r>
          <m:r>
            <m:t>s</m:t>
          </m:r>
          <m:r>
            <m:t>e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d</m:t>
              </m:r>
              <m:sSub>
                <m:e>
                  <m:r>
                    <m:t>A</m:t>
                  </m:r>
                </m:e>
                <m:sub>
                  <m:r>
                    <m:t>c</m:t>
                  </m:r>
                  <m:r>
                    <m:t>e</m:t>
                  </m:r>
                  <m:r>
                    <m:t>n</m:t>
                  </m:r>
                  <m:r>
                    <m:t>t</m:t>
                  </m:r>
                  <m:r>
                    <m:t>r</m:t>
                  </m:r>
                  <m:r>
                    <m:t>a</m:t>
                  </m:r>
                  <m:r>
                    <m:t>l</m:t>
                  </m:r>
                </m:sub>
              </m:sSub>
            </m:num>
            <m:den>
              <m:r>
                <m:t>d</m:t>
              </m:r>
              <m:r>
                <m:t>t</m:t>
              </m:r>
            </m:den>
          </m:f>
          <m:r>
            <m:rPr>
              <m:sty m:val="p"/>
            </m:rPr>
            <m:t>=</m:t>
          </m:r>
          <m:sSub>
            <m:e>
              <m:r>
                <m:t>k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⋅</m:t>
          </m:r>
          <m:sSub>
            <m:e>
              <m:r>
                <m:t>A</m:t>
              </m:r>
            </m:e>
            <m:sub>
              <m:r>
                <m:t>g</m:t>
              </m:r>
              <m:r>
                <m:t>u</m:t>
              </m:r>
              <m:r>
                <m:t>t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k</m:t>
              </m:r>
            </m:e>
            <m:sub>
              <m:r>
                <m:t>e</m:t>
              </m:r>
            </m:sub>
          </m:sSub>
          <m:r>
            <m:rPr>
              <m:sty m:val="p"/>
            </m:rPr>
            <m:t>⋅</m:t>
          </m:r>
          <m:sSub>
            <m:e>
              <m:r>
                <m:t>A</m:t>
              </m:r>
            </m:e>
            <m:sub>
              <m:r>
                <m:t>c</m:t>
              </m:r>
              <m:r>
                <m:t>e</m:t>
              </m:r>
              <m:r>
                <m:t>n</m:t>
              </m:r>
              <m:r>
                <m:t>t</m:t>
              </m:r>
              <m:r>
                <m:t>r</m:t>
              </m:r>
              <m:r>
                <m:t>a</m:t>
              </m:r>
              <m:r>
                <m:t>l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A</m:t>
              </m:r>
            </m:e>
            <m:sub>
              <m:r>
                <m:t>c</m:t>
              </m:r>
              <m:r>
                <m:t>e</m:t>
              </m:r>
              <m:r>
                <m:t>n</m:t>
              </m:r>
              <m:r>
                <m:t>t</m:t>
              </m:r>
              <m:r>
                <m:t>r</m:t>
              </m:r>
              <m:r>
                <m:t>a</m:t>
              </m:r>
              <m:r>
                <m:t>l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</m:e>
          </m:d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t xml:space="preserve">Solving these two linked equations for a single dose given at time 0 gives the concentration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c</m:t>
            </m:r>
            <m:r>
              <m:t>e</m:t>
            </m:r>
            <m:r>
              <m:t>n</m:t>
            </m:r>
            <m:r>
              <m:t>t</m:t>
            </m:r>
            <m:r>
              <m:t>r</m:t>
            </m:r>
            <m:r>
              <m:t>a</m:t>
            </m:r>
            <m:r>
              <m:t>l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/</m:t>
        </m:r>
        <m:r>
          <m:t>V</m:t>
        </m:r>
        <m:r>
          <m:t>s</m:t>
        </m:r>
        <m:r>
          <m:t>s</m:t>
        </m:r>
      </m:oMath>
      <w:r>
        <w:t xml:space="preserve"> </w:t>
      </w:r>
      <w:r>
        <w:t xml:space="preserve">- the standard one-compartment</w:t>
      </w:r>
      <w:r>
        <w:t xml:space="preserve"> </w:t>
      </w:r>
      <w:r>
        <w:t xml:space="preserve">“</w:t>
      </w:r>
      <w:r>
        <w:t xml:space="preserve">Bateman function</w:t>
      </w:r>
      <w:r>
        <w:t xml:space="preserve">”</w:t>
      </w:r>
      <w:r>
        <w:t xml:space="preserve"> </w:t>
      </w:r>
      <w:r>
        <w:t xml:space="preserve">(Rowland and Tozer 2022)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C</m:t>
              </m:r>
            </m:e>
            <m:sub>
              <m:r>
                <m:t>1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⋅</m:t>
              </m:r>
              <m:r>
                <m:t>D</m:t>
              </m:r>
              <m:r>
                <m:t>o</m:t>
              </m:r>
              <m:r>
                <m:t>s</m:t>
              </m:r>
              <m:r>
                <m:t>e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k</m:t>
                  </m:r>
                </m:e>
                <m:sub>
                  <m:r>
                    <m:t>a</m:t>
                  </m:r>
                </m:sub>
              </m:sSub>
            </m:num>
            <m:den>
              <m:r>
                <m:t>V</m:t>
              </m:r>
              <m:r>
                <m:t>s</m:t>
              </m:r>
              <m:r>
                <m:t>s</m:t>
              </m:r>
              <m:r>
                <m:rPr>
                  <m:sty m:val="p"/>
                </m:rPr>
                <m:t>⋅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k</m:t>
                      </m:r>
                    </m:e>
                    <m:sub>
                      <m:r>
                        <m:t>a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e</m:t>
                      </m:r>
                    </m:sub>
                  </m:sSub>
                </m:e>
              </m:d>
            </m:den>
          </m:f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e</m:t>
                      </m:r>
                    </m:sub>
                  </m:sSub>
                  <m:r>
                    <m:t>t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a</m:t>
                      </m:r>
                    </m:sub>
                  </m:sSub>
                  <m:r>
                    <m:t>t</m:t>
                  </m:r>
                </m:sup>
              </m:sSup>
            </m:e>
          </m:d>
        </m:oMath>
      </m:oMathPara>
    </w:p>
    <w:bookmarkEnd w:id="97"/>
    <w:bookmarkStart w:id="98" w:name="repeated-dosing-by-superposition"/>
    <w:p>
      <w:pPr>
        <w:pStyle w:val="Heading3"/>
      </w:pPr>
      <w:r>
        <w:rPr>
          <w:rStyle w:val="SectionNumber"/>
        </w:rPr>
        <w:t xml:space="preserve">3.2.2</w:t>
      </w:r>
      <w:r>
        <w:tab/>
      </w:r>
      <w:r>
        <w:t xml:space="preserve">Repeated Dosing by Superposition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doses given every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hours (at times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τ</m:t>
        </m:r>
        <m:r>
          <m:rPr>
            <m:sty m:val="p"/>
          </m:rPr>
          <m:t>,</m:t>
        </m:r>
        <m:r>
          <m:t>2</m:t>
        </m:r>
        <m:r>
          <m:t>τ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τ</m:t>
        </m:r>
      </m:oMath>
      <w:r>
        <w:t xml:space="preserve">), the model</w:t>
      </w:r>
      <w:r>
        <w:t xml:space="preserve"> </w:t>
      </w:r>
      <w:r>
        <w:t xml:space="preserve">above is linear, so the total concentration is just the sum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copies of the single-dose</w:t>
      </w:r>
      <w:r>
        <w:t xml:space="preserve"> </w:t>
      </w:r>
      <w:r>
        <w:t xml:space="preserve">curve, each one shifted to start at its own dose time - the</w:t>
      </w:r>
      <w:r>
        <w:t xml:space="preserve"> </w:t>
      </w:r>
      <w:r>
        <w:rPr>
          <w:bCs/>
          <w:b/>
        </w:rPr>
        <w:t xml:space="preserve">superposition principle</w:t>
      </w:r>
      <w:r>
        <w:t xml:space="preserve"> </w:t>
      </w:r>
      <w:r>
        <w:t xml:space="preserve">(Rowland and Tozer 2022)</w:t>
      </w:r>
      <w:r>
        <w:t xml:space="preserve">. Because the model is linear, concentration can always be split into a</w:t>
      </w:r>
      <w:r>
        <w:t xml:space="preserve"> </w:t>
      </w:r>
      <w:r>
        <w:t xml:space="preserve">“</w:t>
      </w:r>
      <w:r>
        <w:t xml:space="preserve">size</w:t>
      </w:r>
      <w:r>
        <w:t xml:space="preserve">”</w:t>
      </w:r>
      <w:r>
        <w:t xml:space="preserve"> </w:t>
      </w:r>
      <w:r>
        <w:t xml:space="preserve">part and a</w:t>
      </w:r>
      <w:r>
        <w:t xml:space="preserve"> </w:t>
      </w:r>
      <w:r>
        <w:rPr>
          <w:bCs/>
          <w:b/>
        </w:rPr>
        <w:t xml:space="preserve">dose-independent shape function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: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D</m:t>
        </m:r>
        <m:r>
          <m:t>o</m:t>
        </m:r>
        <m:r>
          <m:t>s</m:t>
        </m:r>
        <m:r>
          <m:t>e</m:t>
        </m:r>
        <m:r>
          <m:rPr>
            <m:sty m:val="p"/>
          </m:rPr>
          <m:t>⋅</m:t>
        </m:r>
        <m:r>
          <m:t>F</m:t>
        </m:r>
        <m:r>
          <m:rPr>
            <m:sty m:val="p"/>
          </m:rPr>
          <m:t>⋅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depends only on the absorption/elimination rates and the dosing schedule, never on</w:t>
      </w:r>
      <w:r>
        <w:t xml:space="preserve"> </w:t>
      </w:r>
      <w:r>
        <w:t xml:space="preserve">the dose itself. Three steps get from the single-dose curve above to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’s closed form at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after the</w:t>
      </w:r>
      <w:r>
        <w:t xml:space="preserve"> </w:t>
      </w:r>
      <w:r>
        <w:rPr>
          <w:iCs/>
          <w:i/>
        </w:rPr>
        <w:t xml:space="preserve">last</w:t>
      </w:r>
      <w:r>
        <w:t xml:space="preserve"> </w:t>
      </w:r>
      <w:r>
        <w:t xml:space="preserve">(</w:t>
      </w:r>
      <m:oMath>
        <m:r>
          <m:t>n</m:t>
        </m:r>
      </m:oMath>
      <w:r>
        <w:t xml:space="preserve">-th) dose:</w:t>
      </w:r>
    </w:p>
    <w:p>
      <w:pPr>
        <w:numPr>
          <w:ilvl w:val="0"/>
          <w:numId w:val="1014"/>
        </w:numPr>
        <w:pStyle w:val="Compact"/>
      </w:pPr>
      <w:r>
        <w:t xml:space="preserve">The dose given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intervals before the last one has been running for</w:t>
      </w:r>
      <w:r>
        <w:t xml:space="preserve"> </w:t>
      </w:r>
      <m:oMath>
        <m:r>
          <m:t>j</m:t>
        </m:r>
        <m:r>
          <m:t>τ</m:t>
        </m:r>
        <m:r>
          <m:rPr>
            <m:sty m:val="p"/>
          </m:rPr>
          <m:t>+</m:t>
        </m:r>
        <m:r>
          <m:t>t</m:t>
        </m:r>
      </m:oMath>
      <w:r>
        <w:t xml:space="preserve">. Summing 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contributions: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  <m:e>
            <m:sSub>
              <m:e>
                <m:r>
                  <m:t>C</m:t>
                </m:r>
              </m:e>
              <m:sub>
                <m:r>
                  <m:t>1</m:t>
                </m:r>
              </m:sub>
            </m:sSub>
          </m:e>
        </m:nary>
        <m:d>
          <m:dPr>
            <m:begChr m:val="("/>
            <m:endChr m:val=")"/>
            <m:sepChr m:val=""/>
            <m:grow/>
          </m:dPr>
          <m:e>
            <m:r>
              <m:t>j</m:t>
            </m:r>
            <m:r>
              <m:t>τ</m:t>
            </m:r>
            <m:r>
              <m:rPr>
                <m:sty m:val="p"/>
              </m:rPr>
              <m:t>+</m:t>
            </m:r>
            <m:r>
              <m:t>t</m:t>
            </m:r>
          </m:e>
        </m:d>
      </m:oMath>
    </w:p>
    <w:p>
      <w:pPr>
        <w:numPr>
          <w:ilvl w:val="0"/>
          <w:numId w:val="1014"/>
        </w:numPr>
        <w:pStyle w:val="Compact"/>
      </w:pPr>
      <w:r>
        <w:t xml:space="preserve">Substituting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separating the two exponential terms (each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k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j</m:t>
                </m:r>
                <m:r>
                  <m:t>τ</m:t>
                </m:r>
                <m:r>
                  <m:rPr>
                    <m:sty m:val="p"/>
                  </m:rPr>
                  <m:t>+</m:t>
                </m:r>
                <m:r>
                  <m:t>t</m:t>
                </m:r>
              </m:e>
            </m:d>
          </m:sup>
        </m:sSup>
      </m:oMath>
      <w:r>
        <w:t xml:space="preserve"> </w:t>
      </w:r>
      <w:r>
        <w:t xml:space="preserve">splits</w:t>
      </w:r>
      <w:r>
        <w:t xml:space="preserve"> </w:t>
      </w:r>
      <w:r>
        <w:t xml:space="preserve">into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k</m:t>
            </m:r>
            <m:r>
              <m:t>t</m:t>
            </m:r>
          </m:sup>
        </m:sSup>
        <m:r>
          <m:rPr>
            <m:sty m:val="p"/>
          </m:rPr>
          <m:t>⋅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k</m:t>
            </m:r>
            <m:r>
              <m:t>j</m:t>
            </m:r>
            <m:r>
              <m:t>τ</m:t>
            </m:r>
          </m:sup>
        </m:sSup>
      </m:oMath>
      <w:r>
        <w:t xml:space="preserve">) gives a sum over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for each of the</w:t>
      </w:r>
      <w:r>
        <w:t xml:space="preserve"> </w:t>
      </w:r>
      <m:oMath>
        <m:sSub>
          <m:e>
            <m:r>
              <m:t>k</m:t>
            </m:r>
          </m:e>
          <m:sub>
            <m:r>
              <m:t>e</m:t>
            </m:r>
          </m:sub>
        </m:sSub>
      </m:oMath>
      <w:r>
        <w:t xml:space="preserve">/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terms.</w:t>
      </w:r>
    </w:p>
    <w:p>
      <w:pPr>
        <w:numPr>
          <w:ilvl w:val="0"/>
          <w:numId w:val="1014"/>
        </w:numPr>
        <w:pStyle w:val="Compact"/>
      </w:pPr>
      <w:r>
        <w:t xml:space="preserve">Each sum is a finite geometric series,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j</m:t>
                </m:r>
              </m:sup>
            </m:sSup>
          </m:e>
        </m:nary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e>
        </m:d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, with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b>
              <m:e>
                <m:r>
                  <m:t>k</m:t>
                </m:r>
              </m:e>
              <m:sub>
                <m:r>
                  <m:t>e</m:t>
                </m:r>
              </m:sub>
            </m:sSub>
            <m:r>
              <m:t>τ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b>
              <m:e>
                <m:r>
                  <m:t>k</m:t>
                </m:r>
              </m:e>
              <m:sub>
                <m:r>
                  <m:t>a</m:t>
                </m:r>
              </m:sub>
            </m:sSub>
            <m:r>
              <m:t>τ</m:t>
            </m:r>
          </m:sup>
        </m:sSup>
      </m:oMath>
      <w:r>
        <w:t xml:space="preserve"> </w:t>
      </w:r>
      <w:r>
        <w:t xml:space="preserve">respectively. Substituting those in and dividing out</w:t>
      </w:r>
      <w:r>
        <w:t xml:space="preserve"> </w:t>
      </w:r>
      <m:oMath>
        <m:r>
          <m:t>D</m:t>
        </m:r>
        <m:r>
          <m:t>o</m:t>
        </m:r>
        <m:r>
          <m:t>s</m:t>
        </m:r>
        <m:r>
          <m:t>e</m:t>
        </m:r>
        <m:r>
          <m:rPr>
            <m:sty m:val="p"/>
          </m:rPr>
          <m:t>⋅</m:t>
        </m:r>
        <m:r>
          <m:t>F</m:t>
        </m:r>
      </m:oMath>
      <w:r>
        <w:t xml:space="preserve"> </w:t>
      </w:r>
      <w:r>
        <w:t xml:space="preserve">gives the shape function:</w:t>
      </w:r>
    </w:p>
    <w:p>
      <w:pPr>
        <w:pStyle w:val="Compact"/>
      </w:pPr>
      <m:oMathPara>
        <m:oMathParaPr>
          <m:jc m:val="center"/>
        </m:oMathParaPr>
        <m:oMath>
          <m:r>
            <m:t>h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k</m:t>
                  </m:r>
                </m:e>
                <m:sub>
                  <m:r>
                    <m:t>a</m:t>
                  </m:r>
                </m:sub>
              </m:sSub>
            </m:num>
            <m:den>
              <m:r>
                <m:t>V</m:t>
              </m:r>
              <m:r>
                <m:t>s</m:t>
              </m:r>
              <m:r>
                <m:t>s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k</m:t>
                      </m:r>
                    </m:e>
                    <m:sub>
                      <m:r>
                        <m:t>a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e</m:t>
                      </m:r>
                    </m:sub>
                  </m:sSub>
                </m:e>
              </m:d>
            </m:den>
          </m:f>
          <m:d>
            <m:dPr>
              <m:begChr m:val="["/>
              <m:endChr m:val="]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n</m:t>
                      </m:r>
                      <m:sSub>
                        <m:e>
                          <m:r>
                            <m:t>k</m:t>
                          </m:r>
                        </m:e>
                        <m:sub>
                          <m:r>
                            <m:t>e</m:t>
                          </m:r>
                        </m:sub>
                      </m:sSub>
                      <m:r>
                        <m:t>τ</m:t>
                      </m:r>
                    </m:sup>
                  </m:sSup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k</m:t>
                          </m:r>
                        </m:e>
                        <m:sub>
                          <m:r>
                            <m:t>e</m:t>
                          </m:r>
                        </m:sub>
                      </m:sSub>
                      <m:r>
                        <m:t>τ</m:t>
                      </m:r>
                    </m:sup>
                  </m:sSup>
                </m:den>
              </m:f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e</m:t>
                      </m:r>
                    </m:sub>
                  </m:sSub>
                  <m:r>
                    <m:t>t</m:t>
                  </m:r>
                </m:sup>
              </m:sSup>
              <m:r>
                <m:t> </m:t>
              </m:r>
              <m:r>
                <m:rPr>
                  <m:sty m:val="p"/>
                </m:rPr>
                <m:t>−</m:t>
              </m:r>
              <m:r>
                <m:t> 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n</m:t>
                      </m:r>
                      <m:sSub>
                        <m:e>
                          <m:r>
                            <m:t>k</m:t>
                          </m:r>
                        </m:e>
                        <m:sub>
                          <m:r>
                            <m:t>a</m:t>
                          </m:r>
                        </m:sub>
                      </m:sSub>
                      <m:r>
                        <m:t>τ</m:t>
                      </m:r>
                    </m:sup>
                  </m:sSup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k</m:t>
                          </m:r>
                        </m:e>
                        <m:sub>
                          <m:r>
                            <m:t>a</m:t>
                          </m:r>
                        </m:sub>
                      </m:sSub>
                      <m:r>
                        <m:t>τ</m:t>
                      </m:r>
                    </m:sup>
                  </m:sSup>
                </m:den>
              </m:f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a</m:t>
                      </m:r>
                    </m:sub>
                  </m:sSub>
                  <m:r>
                    <m:t>t</m:t>
                  </m:r>
                </m:sup>
              </m:sSup>
            </m:e>
          </m:d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(no accumulation history yet), both fractions reduce to 1 and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collapses back to</w:t>
      </w:r>
      <w:r>
        <w:t xml:space="preserve"> </w:t>
      </w:r>
      <w:r>
        <w:t xml:space="preserve">the plain single-dose formula above. This is the same superposition approach used throughout</w:t>
      </w:r>
      <w:r>
        <w:t xml:space="preserve"> </w:t>
      </w:r>
      <w:r>
        <w:t xml:space="preserve">classical PK for multiple dosing</w:t>
      </w:r>
      <w:r>
        <w:t xml:space="preserve"> </w:t>
      </w:r>
      <w:r>
        <w:t xml:space="preserve">(Gibaldi and Perrier 1982; Rowland and Tozer 2022)</w:t>
      </w:r>
      <w:r>
        <w:t xml:space="preserve">. This same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is shared by both routes - only the inputs differ: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k</m:t>
                  </m:r>
                </m:e>
                <m:sub>
                  <m:r>
                    <m:t>a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n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τ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Oral</w:t>
            </w:r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k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t>r</m:t>
                  </m:r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(default 1/h)</w:t>
            </w:r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F</m:t>
                  </m:r>
                </m:e>
                <m:sub>
                  <m:r>
                    <m:t>o</m:t>
                  </m:r>
                  <m:r>
                    <m:t>r</m:t>
                  </m:r>
                  <m:r>
                    <m:t>a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p</m:t>
                  </m:r>
                  <m:r>
                    <m:t>r</m:t>
                  </m:r>
                  <m:r>
                    <m:t>e</m:t>
                  </m:r>
                  <m:r>
                    <m:t>1</m:t>
                  </m:r>
                  <m:r>
                    <m:t>s</m:t>
                  </m:r>
                  <m:r>
                    <m:t>t</m:t>
                  </m:r>
                  <m:r>
                    <m:t>p</m:t>
                  </m:r>
                  <m:r>
                    <m:t>a</m:t>
                  </m:r>
                  <m:r>
                    <m:t>s</m:t>
                  </m:r>
                  <m:r>
                    <m:t>s</m:t>
                  </m:r>
                </m:sub>
              </m:sSub>
              <m:r>
                <m:rPr>
                  <m:sty m:val="p"/>
                </m:rPr>
                <m:t>×</m:t>
              </m:r>
              <m:sSub>
                <m:e>
                  <m:r>
                    <m:t>F</m:t>
                  </m:r>
                </m:e>
                <m:sub>
                  <m:r>
                    <m:t>h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user-set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user-set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LAI</w:t>
            </w:r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k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t>A</m:t>
                  </m:r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(default</w:t>
            </w:r>
            <w:r>
              <w:t xml:space="preserve"> </w:t>
            </w:r>
            <m:oMath>
              <m:r>
                <m:t>2.98</m:t>
              </m:r>
              <m:r>
                <m:rPr>
                  <m:sty m:val="p"/>
                </m:rPr>
                <m:t>×</m:t>
              </m:r>
              <m:sSup>
                <m:e>
                  <m:r>
                    <m:t>10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p>
              </m:sSup>
            </m:oMath>
            <w:r>
              <w:t xml:space="preserve">/h)</w:t>
            </w:r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  <m:r>
                    <m:t>A</m:t>
                  </m:r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(default 0.8) directly, no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h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</w:tr>
    </w:tbl>
    <w:p>
      <w:pPr>
        <w:pStyle w:val="BodyText"/>
      </w:pPr>
      <w:r>
        <w:t xml:space="preserve">LAI bioavailability is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corrected by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: intramuscular/subcutaneous administration</w:t>
      </w:r>
      <w:r>
        <w:t xml:space="preserve"> </w:t>
      </w:r>
      <w:r>
        <w:t xml:space="preserve">bypasses the portal vein and therefore hepatic first-pass extraction entirely (see Chapter</w:t>
      </w:r>
      <w:r>
        <w:t xml:space="preserve"> </w:t>
      </w:r>
      <w:r>
        <w:t xml:space="preserve">2</w:t>
      </w:r>
      <w:r>
        <w:t xml:space="preserve"> </w:t>
      </w:r>
      <w:r>
        <w:t xml:space="preserve">for why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still applies to</w:t>
      </w:r>
      <w:r>
        <w:t xml:space="preserve"> </w:t>
      </w:r>
      <m:oMath>
        <m:sSub>
          <m:e>
            <m:r>
              <m:t>k</m:t>
            </m:r>
          </m:e>
          <m:sub>
            <m:r>
              <m:t>e</m:t>
            </m:r>
          </m:sub>
        </m:sSub>
      </m:oMath>
      <w:r>
        <w:t xml:space="preserve"> </w:t>
      </w:r>
      <w:r>
        <w:t xml:space="preserve">for both routes).</w:t>
      </w:r>
    </w:p>
    <w:p>
      <w:pPr>
        <w:pStyle w:val="BodyText"/>
      </w:pPr>
      <w:r>
        <w:t xml:space="preserve">Since</w:t>
      </w:r>
      <w:r>
        <w:t xml:space="preserve"> </w:t>
      </w:r>
      <m:oMath>
        <m:r>
          <m:t>V</m:t>
        </m:r>
        <m:r>
          <m:t>s</m:t>
        </m:r>
        <m:sSub>
          <m:e>
            <m:r>
              <m:t>s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(and therefore</w:t>
      </w:r>
      <w:r>
        <w:t xml:space="preserve"> </w:t>
      </w:r>
      <m:oMath>
        <m:sSub>
          <m:e>
            <m:r>
              <m:t>k</m:t>
            </m:r>
          </m:e>
          <m:sub>
            <m:r>
              <m:t>e</m:t>
            </m:r>
          </m:sub>
        </m:sSub>
      </m:oMath>
      <w:r>
        <w:t xml:space="preserve">) is predicted twice per compound - once from the in silico</w:t>
      </w:r>
      <w:r>
        <w:t xml:space="preserve"> </w:t>
      </w:r>
      <w:r>
        <w:t xml:space="preserve">estimate, once from the in vivo one - the dose is likewise predicted twice per compound, and</w:t>
      </w:r>
      <w:r>
        <w:t xml:space="preserve"> </w:t>
      </w:r>
      <w:r>
        <w:t xml:space="preserve">both are shown side by side, labelled by</w:t>
      </w:r>
      <w:r>
        <w:t xml:space="preserve"> </w:t>
      </w:r>
      <w:r>
        <w:t xml:space="preserve">“</w:t>
      </w:r>
      <w:r>
        <w:t xml:space="preserve">Vss source</w:t>
      </w:r>
      <w:r>
        <w:t xml:space="preserve">”</w:t>
      </w:r>
      <w:r>
        <w:t xml:space="preserve">.</w:t>
      </w:r>
    </w:p>
    <w:bookmarkEnd w:id="98"/>
    <w:bookmarkStart w:id="105" w:name="X40ac78ebc6e8d10863f4ce81485f42c1eb621b2"/>
    <w:p>
      <w:pPr>
        <w:pStyle w:val="Heading3"/>
      </w:pPr>
      <w:r>
        <w:rPr>
          <w:rStyle w:val="SectionNumber"/>
        </w:rPr>
        <w:t xml:space="preserve">3.2.3</w:t>
      </w:r>
      <w:r>
        <w:tab/>
      </w:r>
      <w:r>
        <w:t xml:space="preserve">Solving for the Dose: a Continuous Coverage Window</w:t>
      </w:r>
    </w:p>
    <w:p>
      <w:pPr>
        <w:pStyle w:val="FirstParagraph"/>
      </w:pPr>
      <w:r>
        <w:t xml:space="preserve">We want to know when concentration is at or above MIC</w:t>
      </w:r>
      <w:r>
        <w:rPr>
          <w:vertAlign w:val="subscript"/>
        </w:rPr>
        <w:t xml:space="preserve">u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≥</m:t>
          </m:r>
          <m:r>
            <m:t>M</m:t>
          </m:r>
          <m:r>
            <m:t>I</m:t>
          </m:r>
          <m:sSub>
            <m:e>
              <m:r>
                <m:t>C</m:t>
              </m:r>
            </m:e>
            <m:sub>
              <m:r>
                <m:t>u</m:t>
              </m:r>
            </m:sub>
          </m:sSub>
          <m:r>
            <m:t> </m:t>
          </m:r>
          <m:r>
            <m:rPr>
              <m:sty m:val="p"/>
            </m:rPr>
            <m:t>⇔</m:t>
          </m:r>
          <m:r>
            <m:t> </m:t>
          </m:r>
          <m:r>
            <m:t>D</m:t>
          </m:r>
          <m:r>
            <m:t>o</m:t>
          </m:r>
          <m:r>
            <m:t>s</m:t>
          </m:r>
          <m:r>
            <m:t>e</m:t>
          </m:r>
          <m:r>
            <m:rPr>
              <m:sty m:val="p"/>
            </m:rPr>
            <m:t>⋅</m:t>
          </m:r>
          <m:r>
            <m:t>F</m:t>
          </m:r>
          <m:r>
            <m:rPr>
              <m:sty m:val="p"/>
            </m:rPr>
            <m:t>⋅</m:t>
          </m:r>
          <m:r>
            <m:t>h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≥</m:t>
          </m:r>
          <m:r>
            <m:t>M</m:t>
          </m:r>
          <m:r>
            <m:t>I</m:t>
          </m:r>
          <m:sSub>
            <m:e>
              <m:r>
                <m:t>C</m:t>
              </m:r>
            </m:e>
            <m:sub>
              <m:r>
                <m:t>u</m:t>
              </m:r>
            </m:sub>
          </m:sSub>
          <m:r>
            <m:t> </m:t>
          </m:r>
          <m:r>
            <m:rPr>
              <m:sty m:val="p"/>
            </m:rPr>
            <m:t>⇔</m:t>
          </m:r>
          <m:r>
            <m:t> </m:t>
          </m:r>
          <m:r>
            <m:t>h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≥</m:t>
          </m:r>
          <m:f>
            <m:fPr>
              <m:type m:val="bar"/>
            </m:fPr>
            <m:num>
              <m:r>
                <m:t>M</m:t>
              </m:r>
              <m:r>
                <m:t>I</m:t>
              </m:r>
              <m:sSub>
                <m:e>
                  <m:r>
                    <m:t>C</m:t>
                  </m:r>
                </m:e>
                <m:sub>
                  <m:r>
                    <m:t>u</m:t>
                  </m:r>
                </m:sub>
              </m:sSub>
            </m:num>
            <m:den>
              <m:r>
                <m:t>D</m:t>
              </m:r>
              <m:r>
                <m:t>o</m:t>
              </m:r>
              <m:r>
                <m:t>s</m:t>
              </m:r>
              <m:r>
                <m:t>e</m:t>
              </m:r>
              <m:r>
                <m:rPr>
                  <m:sty m:val="p"/>
                </m:rPr>
                <m:t>⋅</m:t>
              </m:r>
              <m:r>
                <m:t>F</m:t>
              </m:r>
            </m:den>
          </m:f>
        </m:oMath>
      </m:oMathPara>
    </w:p>
    <w:p>
      <w:pPr>
        <w:pStyle w:val="FirstParagraph"/>
      </w:pPr>
      <w:r>
        <w:t xml:space="preserve">So</w:t>
      </w:r>
      <w:r>
        <w:t xml:space="preserve"> </w:t>
      </w:r>
      <w:r>
        <w:t xml:space="preserve">“</w:t>
      </w:r>
      <w:r>
        <w:t xml:space="preserve">does concentration cross MIC</w:t>
      </w:r>
      <w:r>
        <w:rPr>
          <w:vertAlign w:val="subscript"/>
        </w:rPr>
        <w:t xml:space="preserve">u</w:t>
      </w:r>
      <w:r>
        <w:t xml:space="preserve">”</w:t>
      </w:r>
      <w:r>
        <w:t xml:space="preserve"> </w:t>
      </w:r>
      <w:r>
        <w:t xml:space="preserve">becomes</w:t>
      </w:r>
      <w:r>
        <w:t xml:space="preserve"> </w:t>
      </w:r>
      <w:r>
        <w:t xml:space="preserve">“</w:t>
      </w:r>
      <w:r>
        <w:t xml:space="preserve">does the fixed shape curve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cross the line</w:t>
      </w:r>
      <w:r>
        <w:t xml:space="preserve"> </w:t>
      </w:r>
      <m:oMath>
        <m:r>
          <m:t>M</m:t>
        </m:r>
        <m:r>
          <m:t>I</m:t>
        </m:r>
        <m:sSub>
          <m:e>
            <m:r>
              <m:t>C</m:t>
            </m:r>
          </m:e>
          <m:sub>
            <m:r>
              <m:t>u</m:t>
            </m:r>
          </m:sub>
        </m:sSub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  <m:r>
              <m:t>o</m:t>
            </m:r>
            <m:r>
              <m:t>s</m:t>
            </m:r>
            <m:r>
              <m:t>e</m:t>
            </m:r>
            <m:r>
              <m:rPr>
                <m:sty m:val="p"/>
              </m:rPr>
              <m:t>⋅</m:t>
            </m:r>
            <m:r>
              <m:t>F</m:t>
            </m:r>
          </m:e>
        </m:d>
      </m:oMath>
      <w:r>
        <w:t xml:space="preserve">”</w:t>
      </w:r>
      <w:r>
        <w:t xml:space="preserve"> </w:t>
      </w:r>
      <w:r>
        <w:t xml:space="preserve">- a line that moves</w:t>
      </w:r>
      <w:r>
        <w:t xml:space="preserve"> </w:t>
      </w:r>
      <w:r>
        <w:rPr>
          <w:iCs/>
          <w:i/>
        </w:rPr>
        <w:t xml:space="preserve">down</w:t>
      </w:r>
      <w:r>
        <w:t xml:space="preserve"> </w:t>
      </w:r>
      <w:r>
        <w:t xml:space="preserve">as the dose goes up, since a bigger dose</w:t>
      </w:r>
      <w:r>
        <w:t xml:space="preserve"> </w:t>
      </w:r>
      <w:r>
        <w:t xml:space="preserve">reaches any given absolute concentration more easily. This decouples</w:t>
      </w:r>
      <w:r>
        <w:t xml:space="preserve"> </w:t>
      </w:r>
      <w:r>
        <w:rPr>
          <w:iCs/>
          <w:i/>
        </w:rPr>
        <w:t xml:space="preserve">where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crosses a given</w:t>
      </w:r>
      <w:r>
        <w:t xml:space="preserve"> </w:t>
      </w:r>
      <w:r>
        <w:t xml:space="preserve">threshold (a property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alone) from</w:t>
      </w:r>
      <w:r>
        <w:t xml:space="preserve"> </w:t>
      </w:r>
      <w:r>
        <w:rPr>
          <w:iCs/>
          <w:i/>
        </w:rPr>
        <w:t xml:space="preserve">what dose</w:t>
      </w:r>
      <w:r>
        <w:t xml:space="preserve"> </w:t>
      </w:r>
      <w:r>
        <w:t xml:space="preserve">produces that threshold, which is what makes</w:t>
      </w:r>
      <w:r>
        <w:t xml:space="preserve"> </w:t>
      </w:r>
      <w:r>
        <w:t xml:space="preserve">solving for the dose tractable: for a candidate threshold, MMVFree locates the onset (</w:t>
      </w:r>
      <m:oMath>
        <m:sSub>
          <m:e>
            <m:r>
              <m:t>t</m:t>
            </m:r>
          </m:e>
          <m:sub>
            <m:r>
              <m:t>r</m:t>
            </m:r>
            <m:r>
              <m:t>i</m:t>
            </m:r>
            <m:r>
              <m:t>s</m:t>
            </m:r>
            <m:r>
              <m:t>e</m:t>
            </m:r>
          </m:sub>
        </m:sSub>
      </m:oMath>
      <w:r>
        <w:t xml:space="preserve">)</w:t>
      </w:r>
      <w:r>
        <w:t xml:space="preserve"> </w:t>
      </w:r>
      <w:r>
        <w:t xml:space="preserve">and offset (</w:t>
      </w:r>
      <m:oMath>
        <m:sSub>
          <m:e>
            <m:r>
              <m:t>t</m:t>
            </m:r>
          </m:e>
          <m:sub>
            <m:r>
              <m:t>f</m:t>
            </m:r>
            <m:r>
              <m:t>a</m:t>
            </m:r>
            <m:r>
              <m:t>l</m:t>
            </m:r>
            <m:r>
              <m:t>l</m:t>
            </m:r>
          </m:sub>
        </m:sSub>
      </m:oMath>
      <w:r>
        <w:t xml:space="preserve">) of the window during which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clears it, using the following</w:t>
      </w:r>
      <w:r>
        <w:t xml:space="preserve"> </w:t>
      </w:r>
      <w:r>
        <w:t xml:space="preserve">algorithm (</w:t>
      </w:r>
      <w:r>
        <w:rPr>
          <w:rStyle w:val="VerbatimChar"/>
        </w:rPr>
        <w:t xml:space="preserve">findWindow()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Resources/STATE_Objects.R</w:t>
      </w:r>
      <w:r>
        <w:t xml:space="preserve">):</w:t>
      </w:r>
    </w:p>
    <w:p>
      <w:pPr>
        <w:numPr>
          <w:ilvl w:val="0"/>
          <w:numId w:val="1015"/>
        </w:numPr>
        <w:pStyle w:val="Compact"/>
      </w:pPr>
      <w:r>
        <w:t xml:space="preserve">Compute the last dosing segment’s shape and its peak (a multi-dose profile’s global peak is</w:t>
      </w:r>
      <w:r>
        <w:t xml:space="preserve"> </w:t>
      </w:r>
      <w:r>
        <w:t xml:space="preserve">always reached in the</w:t>
      </w:r>
      <w:r>
        <w:t xml:space="preserve"> </w:t>
      </w:r>
      <w:r>
        <w:rPr>
          <w:iCs/>
          <w:i/>
        </w:rPr>
        <w:t xml:space="preserve">last</w:t>
      </w:r>
      <w:r>
        <w:t xml:space="preserve"> </w:t>
      </w:r>
      <w:r>
        <w:t xml:space="preserve">segment, since each additional dose only ever adds positive</w:t>
      </w:r>
      <w:r>
        <w:t xml:space="preserve"> </w:t>
      </w:r>
      <w:r>
        <w:t xml:space="preserve">residual carryover on top of what’s already there - never subtracts). If even this peak</w:t>
      </w:r>
      <w:r>
        <w:t xml:space="preserve"> </w:t>
      </w:r>
      <w:r>
        <w:t xml:space="preserve">doesn’t reach the threshold, no dose gives a window at all.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Onset:</w:t>
      </w:r>
      <w:r>
        <w:t xml:space="preserve"> </w:t>
      </w:r>
      <w:r>
        <w:t xml:space="preserve">walk backward through segments, from the last dose towards the first, stopping at</w:t>
      </w:r>
      <w:r>
        <w:t xml:space="preserve"> </w:t>
      </w:r>
      <w:r>
        <w:t xml:space="preserve">the first segment whose own</w:t>
      </w:r>
      <w:r>
        <w:t xml:space="preserve"> </w:t>
      </w:r>
      <w:r>
        <w:rPr>
          <w:iCs/>
          <w:i/>
        </w:rPr>
        <w:t xml:space="preserve">starting</w:t>
      </w:r>
      <w:r>
        <w:t xml:space="preserve"> </w:t>
      </w:r>
      <w:r>
        <w:t xml:space="preserve">concentration (the trough entering it) is below</w:t>
      </w:r>
      <w:r>
        <w:t xml:space="preserve"> </w:t>
      </w:r>
      <w:r>
        <w:t xml:space="preserve">threshold - the true onset lies within that segment. This correctly skips over an earlier,</w:t>
      </w:r>
      <w:r>
        <w:t xml:space="preserve"> </w:t>
      </w:r>
      <w:r>
        <w:t xml:space="preserve">disconnected</w:t>
      </w:r>
      <w:r>
        <w:t xml:space="preserve"> </w:t>
      </w:r>
      <w:r>
        <w:t xml:space="preserve">“</w:t>
      </w:r>
      <w:r>
        <w:t xml:space="preserve">blip</w:t>
      </w:r>
      <w:r>
        <w:t xml:space="preserve">”</w:t>
      </w:r>
      <w:r>
        <w:t xml:space="preserve"> </w:t>
      </w:r>
      <w:r>
        <w:t xml:space="preserve">(a segment whose own local peak also clears the threshold but is separated</w:t>
      </w:r>
      <w:r>
        <w:t xml:space="preserve"> </w:t>
      </w:r>
      <w:r>
        <w:t xml:space="preserve">from the real, sustained window by an intervening trough that dips back below it) - see the</w:t>
      </w:r>
      <w:r>
        <w:t xml:space="preserve"> </w:t>
      </w:r>
      <w:r>
        <w:t xml:space="preserve">worked example below.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Offset:</w:t>
      </w:r>
      <w:r>
        <w:t xml:space="preserve"> </w:t>
      </w:r>
      <w:r>
        <w:t xml:space="preserve">walk forward from the peak, using the last segment’s own (unbounded) shape, until</w:t>
      </w:r>
      <w:r>
        <w:t xml:space="preserve"> </w:t>
      </w:r>
      <w:r>
        <w:t xml:space="preserve">it drops back below threshold.</w:t>
      </w:r>
    </w:p>
    <w:p>
      <w:pPr>
        <w:pStyle w:val="FirstParagraph"/>
      </w:pPr>
      <w:r>
        <w:t xml:space="preserve">Because concentration is linear in dose, the resulting window’s duration is a smooth,</w:t>
      </w:r>
      <w:r>
        <w:t xml:space="preserve"> </w:t>
      </w:r>
      <w:r>
        <w:t xml:space="preserve">monotonically increasing function of dose, so the dose that gives exactly the requested coverage</w:t>
      </w:r>
      <w:r>
        <w:t xml:space="preserve"> </w:t>
      </w:r>
      <w:r>
        <w:t xml:space="preserve">duration is found by a standard 1-D root-find over this threshold/window relationship</w:t>
      </w:r>
      <w:r>
        <w:t xml:space="preserve"> </w:t>
      </w:r>
      <w:r>
        <w:t xml:space="preserve">(</w:t>
      </w:r>
      <w:r>
        <w:rPr>
          <w:rStyle w:val="VerbatimChar"/>
        </w:rPr>
        <w:t xml:space="preserve">formula_doseMIC_single()</w:t>
      </w:r>
      <w:r>
        <w:t xml:space="preserve">, bracketed by doubling the candidate dose until the target duration is</w:t>
      </w:r>
      <w:r>
        <w:t xml:space="preserve"> </w:t>
      </w:r>
      <w:r>
        <w:t xml:space="preserve">exceeded, then refined).</w:t>
      </w:r>
    </w:p>
    <w:p>
      <w:pPr>
        <w:pStyle w:val="BodyText"/>
      </w:pPr>
      <w:r>
        <w:rPr>
          <w:bCs/>
          <w:b/>
        </w:rPr>
        <w:t xml:space="preserve">Worked example.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ka = 0.01/h, ke = 0.005/h, Vss = 50 L</w:t>
      </w:r>
      <w:r>
        <w:t xml:space="preserve">, targeting a continuous 28-day</w:t>
      </w:r>
      <w:r>
        <w:t xml:space="preserve"> </w:t>
      </w:r>
      <w:r>
        <w:t xml:space="preserve">window with a single dose:</w:t>
      </w:r>
    </w:p>
    <w:p>
      <w:pPr>
        <w:pStyle w:val="BodyText"/>
      </w:pPr>
      <w:r>
        <w:t xml:space="preserve">the smallest dose achieving this is</w:t>
      </w:r>
      <w:r>
        <w:t xml:space="preserve"> </w:t>
      </w:r>
      <w:r>
        <w:rPr>
          <w:bCs/>
          <w:b/>
        </w:rPr>
        <w:t xml:space="preserve">3.85 mg</w:t>
      </w:r>
      <w:r>
        <w:t xml:space="preserve">, with the window running</w:t>
      </w:r>
      <w:r>
        <w:t xml:space="preserve"> </w:t>
      </w:r>
      <w:r>
        <w:t xml:space="preserve">from 0.28 to 28.28 days after</w:t>
      </w:r>
      <w:r>
        <w:t xml:space="preserve"> </w:t>
      </w:r>
      <w:r>
        <w:t xml:space="preserve">administration:</w:t>
      </w:r>
    </w:p>
    <w:p>
      <w:pPr>
        <w:pStyle w:val="BodyText"/>
      </w:pPr>
      <w:r>
        <w:drawing>
          <wp:inline>
            <wp:extent cx="5334000" cy="2842947"/>
            <wp:effectExtent b="0" l="0" r="0" t="0"/>
            <wp:docPr descr="" title="" id="100" name="Picture"/>
            <a:graphic>
              <a:graphicData uri="http://schemas.openxmlformats.org/drawingml/2006/picture">
                <pic:pic>
                  <pic:nvPicPr>
                    <pic:cNvPr descr="userguide_files/userguide_files/figure-docx/ch3-ex1-plot-1.png" id="101" name="Picture"/>
                    <pic:cNvPicPr>
                      <a:picLocks noChangeArrowheads="1"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Why the onset can’t just be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the first time concentration crosses MIC</w:t>
      </w:r>
      <w:r>
        <w:rPr>
          <w:vertAlign w:val="subscript"/>
          <w:bCs/>
          <w:b/>
        </w:rPr>
        <w:t xml:space="preserve">u</w:t>
      </w:r>
      <w:r>
        <w:rPr>
          <w:bCs/>
          <w:b/>
        </w:rPr>
        <w:t xml:space="preserve">”</w:t>
      </w:r>
      <w:r>
        <w:rPr>
          <w:bCs/>
          <w:b/>
        </w:rPr>
        <w:t xml:space="preserve">.</w:t>
      </w:r>
      <w:r>
        <w:t xml:space="preserve"> </w:t>
      </w:r>
      <w:r>
        <w:t xml:space="preserve">With a faster,</w:t>
      </w:r>
      <w:r>
        <w:t xml:space="preserve"> </w:t>
      </w:r>
      <w:r>
        <w:t xml:space="preserve">more slowly-accumulating regimen (</w:t>
      </w:r>
      <w:r>
        <w:rPr>
          <w:rStyle w:val="VerbatimChar"/>
        </w:rPr>
        <w:t xml:space="preserve">ka = 0.1/h, ke = 0.03/h, Vss = 500 L</w:t>
      </w:r>
      <w:r>
        <w:t xml:space="preserve">, 5 daily doses), a</w:t>
      </w:r>
      <w:r>
        <w:t xml:space="preserve"> </w:t>
      </w:r>
      <w:r>
        <w:t xml:space="preserve">slightly higher dose than the minimum can produce a brief early</w:t>
      </w:r>
      <w:r>
        <w:t xml:space="preserve"> </w:t>
      </w:r>
      <w:r>
        <w:t xml:space="preserve">“</w:t>
      </w:r>
      <w:r>
        <w:t xml:space="preserve">blip</w:t>
      </w:r>
      <w:r>
        <w:t xml:space="preserve">”</w:t>
      </w:r>
      <w:r>
        <w:t xml:space="preserve">: right after the very</w:t>
      </w:r>
      <w:r>
        <w:t xml:space="preserve"> </w:t>
      </w:r>
      <w:r>
        <w:t xml:space="preserve">first dose or two, concentration can poke above MIC</w:t>
      </w:r>
      <w:r>
        <w:rPr>
          <w:vertAlign w:val="subscript"/>
        </w:rPr>
        <w:t xml:space="preserve">u</w:t>
      </w:r>
      <w:r>
        <w:t xml:space="preserve"> </w:t>
      </w:r>
      <w:r>
        <w:t xml:space="preserve">for a short moment, well before the regimen</w:t>
      </w:r>
      <w:r>
        <w:t xml:space="preserve"> </w:t>
      </w:r>
      <w:r>
        <w:t xml:space="preserve">has meaningfully accumulated - long before the real, sustained window later in the profile.</w:t>
      </w:r>
      <w:r>
        <w:t xml:space="preserve"> </w:t>
      </w:r>
      <w:r>
        <w:t xml:space="preserve">Naively defining onset as</w:t>
      </w:r>
      <w:r>
        <w:t xml:space="preserve"> </w:t>
      </w:r>
      <w:r>
        <w:t xml:space="preserve">“</w:t>
      </w:r>
      <w:r>
        <w:t xml:space="preserve">the very first crossing</w:t>
      </w:r>
      <w:r>
        <w:t xml:space="preserve">”</w:t>
      </w:r>
      <w:r>
        <w:t xml:space="preserve"> </w:t>
      </w:r>
      <w:r>
        <w:t xml:space="preserve">breaks down here: as dose increases, that</w:t>
      </w:r>
      <w:r>
        <w:t xml:space="preserve"> </w:t>
      </w:r>
      <w:r>
        <w:t xml:space="preserve">first crossing can jump backward to this tiny earlier blip, so the reported window’s duration</w:t>
      </w:r>
      <w:r>
        <w:t xml:space="preserve"> </w:t>
      </w:r>
      <w:r>
        <w:t xml:space="preserve">stops increasing smoothly with dose and can drop sharply instead, making it impossible to solve</w:t>
      </w:r>
      <w:r>
        <w:t xml:space="preserve"> </w:t>
      </w:r>
      <w:r>
        <w:t xml:space="preserve">for a well-defined minimum dose. Anchoring at the global peak and walking</w:t>
      </w:r>
      <w:r>
        <w:t xml:space="preserve"> </w:t>
      </w:r>
      <w:r>
        <w:rPr>
          <w:iCs/>
          <w:i/>
        </w:rPr>
        <w:t xml:space="preserve">outward</w:t>
      </w:r>
      <w:r>
        <w:t xml:space="preserve"> </w:t>
      </w:r>
      <w:r>
        <w:t xml:space="preserve">(the algorithm</w:t>
      </w:r>
      <w:r>
        <w:t xml:space="preserve"> </w:t>
      </w:r>
      <w:r>
        <w:t xml:space="preserve">above) avoids this: a blip is only reachable by walking</w:t>
      </w:r>
      <w:r>
        <w:t xml:space="preserve"> </w:t>
      </w:r>
      <w:r>
        <w:rPr>
          <w:iCs/>
          <w:i/>
        </w:rPr>
        <w:t xml:space="preserve">past</w:t>
      </w:r>
      <w:r>
        <w:t xml:space="preserve"> </w:t>
      </w:r>
      <w:r>
        <w:t xml:space="preserve">a trough that has already dropped</w:t>
      </w:r>
      <w:r>
        <w:t xml:space="preserve"> </w:t>
      </w:r>
      <w:r>
        <w:t xml:space="preserve">below threshold, so the walk-back stops at the real, sustained window’s onset instead. The</w:t>
      </w:r>
      <w:r>
        <w:t xml:space="preserve"> </w:t>
      </w:r>
      <w:r>
        <w:rPr>
          <w:bCs/>
          <w:b/>
        </w:rPr>
        <w:t xml:space="preserve">Time to MIC,u</w:t>
      </w:r>
      <w:r>
        <w:t xml:space="preserve"> </w:t>
      </w:r>
      <w:r>
        <w:t xml:space="preserve">column shown alongside each predicted dose is exactly this onset, for the</w:t>
      </w:r>
      <w:r>
        <w:t xml:space="preserve"> </w:t>
      </w:r>
      <w:r>
        <w:t xml:space="preserve">rounded dose actually shown (</w:t>
      </w:r>
      <w:r>
        <w:rPr>
          <w:rStyle w:val="VerbatimChar"/>
        </w:rPr>
        <w:t xml:space="preserve">formula_timeToMIC()</w:t>
      </w:r>
      <w:r>
        <w:t xml:space="preserve">) - the start of the window that actually</w:t>
      </w:r>
      <w:r>
        <w:t xml:space="preserve"> </w:t>
      </w:r>
      <w:r>
        <w:t xml:space="preserve">delivers the requested coverage duration, not the onset of a blip that doesn’t:</w:t>
      </w:r>
    </w:p>
    <w:p>
      <w:pPr>
        <w:pStyle w:val="BodyText"/>
      </w:pPr>
      <w:r>
        <w:drawing>
          <wp:inline>
            <wp:extent cx="5334000" cy="2842947"/>
            <wp:effectExtent b="0" l="0" r="0" t="0"/>
            <wp:docPr descr="" title="" id="103" name="Picture"/>
            <a:graphic>
              <a:graphicData uri="http://schemas.openxmlformats.org/drawingml/2006/picture">
                <pic:pic>
                  <pic:nvPicPr>
                    <pic:cNvPr descr="userguide_files/userguide_files/figure-docx/ch3-ex2-plot-1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This chapter’s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formula_doseKineticsShape()</w:t>
      </w:r>
      <w:r>
        <w:t xml:space="preserve">, the window-finding algorithm above is</w:t>
      </w:r>
      <w:r>
        <w:t xml:space="preserve"> </w:t>
      </w:r>
      <w:r>
        <w:rPr>
          <w:rStyle w:val="VerbatimChar"/>
        </w:rPr>
        <w:t xml:space="preserve">findWindow()</w:t>
      </w:r>
      <w:r>
        <w:t xml:space="preserve">, and the dose/time-to-MIC,u predictions are</w:t>
      </w:r>
      <w:r>
        <w:t xml:space="preserve"> </w:t>
      </w:r>
      <w:r>
        <w:rPr>
          <w:rStyle w:val="VerbatimChar"/>
        </w:rPr>
        <w:t xml:space="preserve">formula_doseMIC()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formula_timeToMIC()</w:t>
      </w:r>
      <w:r>
        <w:t xml:space="preserve"> </w:t>
      </w:r>
      <w:r>
        <w:t xml:space="preserve">- all in</w:t>
      </w:r>
      <w:r>
        <w:t xml:space="preserve"> </w:t>
      </w:r>
      <w:r>
        <w:rPr>
          <w:rStyle w:val="VerbatimChar"/>
        </w:rPr>
        <w:t xml:space="preserve">Resources/STATE_Objects.R</w:t>
      </w:r>
      <w:r>
        <w:t xml:space="preserve">. The same functions serve both the</w:t>
      </w:r>
      <w:r>
        <w:t xml:space="preserve"> </w:t>
      </w:r>
      <w:r>
        <w:t xml:space="preserve">oral (multi-dose) and LAI (always a single dose) predictions, and the theoretical dose-landscape</w:t>
      </w:r>
      <w:r>
        <w:t xml:space="preserve"> </w:t>
      </w:r>
      <w:r>
        <w:t xml:space="preserve">background grids described below.</w:t>
      </w:r>
    </w:p>
    <w:bookmarkEnd w:id="105"/>
    <w:bookmarkEnd w:id="106"/>
    <w:bookmarkStart w:id="107" w:name="dose-rounding-and-display"/>
    <w:p>
      <w:pPr>
        <w:pStyle w:val="Heading2"/>
      </w:pPr>
      <w:r>
        <w:rPr>
          <w:rStyle w:val="SectionNumber"/>
        </w:rPr>
        <w:t xml:space="preserve">3.3</w:t>
      </w:r>
      <w:r>
        <w:tab/>
      </w:r>
      <w:r>
        <w:t xml:space="preserve">Dose Rounding and Display</w:t>
      </w:r>
    </w:p>
    <w:p>
      <w:pPr>
        <w:pStyle w:val="FirstParagraph"/>
      </w:pPr>
      <w:r>
        <w:t xml:space="preserve">Predicted doses are rounded</w:t>
      </w:r>
      <w:r>
        <w:t xml:space="preserve"> </w:t>
      </w:r>
      <w:r>
        <w:rPr>
          <w:iCs/>
          <w:i/>
        </w:rPr>
        <w:t xml:space="preserve">up</w:t>
      </w:r>
      <w:r>
        <w:t xml:space="preserve"> </w:t>
      </w:r>
      <w:r>
        <w:t xml:space="preserve">to a practical value (never down, to avoid under-dosing): to</w:t>
      </w:r>
      <w:r>
        <w:t xml:space="preserve"> </w:t>
      </w:r>
      <w:r>
        <w:t xml:space="preserve">the nearest whole mg for doses</w:t>
      </w:r>
      <w:r>
        <w:t xml:space="preserve"> </w:t>
      </w:r>
      <m:oMath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mg, or to 2 significant figures below that. A dose beyond</w:t>
      </w:r>
      <w:r>
        <w:t xml:space="preserve"> </w:t>
      </w:r>
      <w:r>
        <w:t xml:space="preserve">what the search considers practically achievable (1e9 mg) is treated as needing an effectively</w:t>
      </w:r>
      <w:r>
        <w:t xml:space="preserve"> </w:t>
      </w:r>
      <w:r>
        <w:t xml:space="preserve">infinite dose rather than reported as a missing value, and displayed as the top dose category</w:t>
      </w:r>
      <w:r>
        <w:t xml:space="preserve"> </w:t>
      </w:r>
      <w:r>
        <w:t xml:space="preserve">(</w:t>
      </w:r>
      <w:r>
        <w:t xml:space="preserve">“</w:t>
      </w:r>
      <w:r>
        <w:t xml:space="preserve">≥ 500 mg</w:t>
      </w:r>
      <w:r>
        <w:t xml:space="preserve">”</w:t>
      </w:r>
      <w:r>
        <w:t xml:space="preserve">/</w:t>
      </w:r>
      <w:r>
        <w:t xml:space="preserve">“</w:t>
      </w:r>
      <w:r>
        <w:t xml:space="preserve">≥ 1000 mg</w:t>
      </w:r>
      <w:r>
        <w:t xml:space="preserve">”</w:t>
      </w:r>
      <w:r>
        <w:t xml:space="preserve">, see below) both in the tables and in the dose-landscape plots.</w:t>
      </w:r>
    </w:p>
    <w:bookmarkEnd w:id="107"/>
    <w:bookmarkStart w:id="108" w:name="dose-landscape-plots"/>
    <w:p>
      <w:pPr>
        <w:pStyle w:val="Heading2"/>
      </w:pPr>
      <w:r>
        <w:rPr>
          <w:rStyle w:val="SectionNumber"/>
        </w:rPr>
        <w:t xml:space="preserve">3.4</w:t>
      </w:r>
      <w:r>
        <w:tab/>
      </w:r>
      <w:r>
        <w:t xml:space="preserve">Dose Landscape Plots</w:t>
      </w:r>
    </w:p>
    <w:p>
      <w:pPr>
        <w:pStyle w:val="FirstParagraph"/>
      </w:pPr>
      <w:r>
        <w:t xml:space="preserve">Each dose section also shows a</w:t>
      </w:r>
      <w:r>
        <w:t xml:space="preserve"> </w:t>
      </w:r>
      <w:r>
        <w:rPr>
          <w:bCs/>
          <w:b/>
        </w:rPr>
        <w:t xml:space="preserve">dose landscape</w:t>
      </w:r>
      <w:r>
        <w:t xml:space="preserve">: a grid of theoretical doses computed across a</w:t>
      </w:r>
      <w:r>
        <w:t xml:space="preserve"> </w:t>
      </w:r>
      <w:r>
        <w:t xml:space="preserve">wide range of hypothetical</w:t>
      </w:r>
      <w:r>
        <w:t xml:space="preserve"> </w:t>
      </w:r>
      <m:oMath>
        <m:r>
          <m:t>V</m:t>
        </m:r>
        <m:r>
          <m:t>s</m:t>
        </m:r>
        <m:sSub>
          <m:e>
            <m:r>
              <m:t>s</m:t>
            </m:r>
          </m:e>
          <m:sub>
            <m:r>
              <m:t>u</m:t>
            </m:r>
          </m:sub>
        </m:sSub>
      </m:oMath>
      <w:r>
        <w:t xml:space="preserve">/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  <w:r>
        <w:t xml:space="preserve"> </w:t>
      </w:r>
      <w:r>
        <w:t xml:space="preserve">combinations (holding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, and the dosing</w:t>
      </w:r>
      <w:r>
        <w:t xml:space="preserve"> </w:t>
      </w:r>
      <w:r>
        <w:t xml:space="preserve">regimen fixed at the values above), shaded by dose category. The two routes use different</w:t>
      </w:r>
      <w:r>
        <w:t xml:space="preserve"> </w:t>
      </w:r>
      <w:r>
        <w:t xml:space="preserve">thresholds, shown in the footnote under each plot: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Oral</w:t>
      </w:r>
      <w:r>
        <w:t xml:space="preserve">: green (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100 mg, ideal for oral chemoprevention), yellow (101-499 mg, may be</w:t>
      </w:r>
      <w:r>
        <w:t xml:space="preserve"> </w:t>
      </w:r>
      <w:r>
        <w:t xml:space="preserve">acceptable depending on overall profile and portfolio), red (</w:t>
      </w:r>
      <m:oMath>
        <m:r>
          <m:rPr>
            <m:sty m:val="p"/>
          </m:rPr>
          <m:t>≥</m:t>
        </m:r>
      </m:oMath>
      <w:r>
        <w:t xml:space="preserve"> </w:t>
      </w:r>
      <w:r>
        <w:t xml:space="preserve">500 mg).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LAI</w:t>
      </w:r>
      <w:r>
        <w:t xml:space="preserve">: green (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400 mg, meets the MMV criteria for late lead), orange (401-999 mg), red</w:t>
      </w:r>
      <w:r>
        <w:t xml:space="preserve"> </w:t>
      </w:r>
      <w:r>
        <w:t xml:space="preserve">(</w:t>
      </w:r>
      <m:oMath>
        <m:r>
          <m:rPr>
            <m:sty m:val="p"/>
          </m:rPr>
          <m:t>≥</m:t>
        </m:r>
      </m:oMath>
      <w:r>
        <w:t xml:space="preserve"> </w:t>
      </w:r>
      <w:r>
        <w:t xml:space="preserve">1000 mg).</w:t>
      </w:r>
    </w:p>
    <w:p>
      <w:pPr>
        <w:pStyle w:val="FirstParagraph"/>
      </w:pPr>
      <w:r>
        <w:t xml:space="preserve">The compound’s own two predicted points (in silico and in vivo) are overlaid on this grid, making</w:t>
      </w:r>
      <w:r>
        <w:t xml:space="preserve"> </w:t>
      </w:r>
      <w:r>
        <w:t xml:space="preserve">it easy to see how sensitive the predicted dose is to uncertainty in</w:t>
      </w:r>
      <w:r>
        <w:t xml:space="preserve"> </w:t>
      </w:r>
      <m:oMath>
        <m:r>
          <m:t>V</m:t>
        </m:r>
        <m:r>
          <m:t>s</m:t>
        </m:r>
        <m:sSub>
          <m:e>
            <m:r>
              <m:t>s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or clearance. A</w:t>
      </w:r>
      <w:r>
        <w:t xml:space="preserve"> </w:t>
      </w:r>
      <w:r>
        <w:t xml:space="preserve">compound whose Human CL,u or Vss,u falls outside the plotted range for a given Vss source is</w:t>
      </w:r>
      <w:r>
        <w:t xml:space="preserve"> </w:t>
      </w:r>
      <w:r>
        <w:t xml:space="preserve">listed in a</w:t>
      </w:r>
      <w:r>
        <w:t xml:space="preserve"> </w:t>
      </w:r>
      <w:r>
        <w:t xml:space="preserve">“</w:t>
      </w:r>
      <w:r>
        <w:t xml:space="preserve">Not shown</w:t>
      </w:r>
      <w:r>
        <w:t xml:space="preserve">”</w:t>
      </w:r>
      <w:r>
        <w:t xml:space="preserve"> </w:t>
      </w:r>
      <w:r>
        <w:t xml:space="preserve">note under the plot rather than silently omitted.</w:t>
      </w:r>
    </w:p>
    <w:p>
      <w:pPr>
        <w:pStyle w:val="BodyText"/>
      </w:pPr>
      <w:r>
        <w:t xml:space="preserve">The oral dose landscape additionally overlays diagonal</w:t>
      </w:r>
      <w:r>
        <w:t xml:space="preserve"> </w:t>
      </w:r>
      <w:r>
        <w:rPr>
          <w:bCs/>
          <w:b/>
        </w:rPr>
        <w:t xml:space="preserve">elimination half-life</w:t>
      </w:r>
      <w:r>
        <w:t xml:space="preserve"> </w:t>
      </w:r>
      <w:r>
        <w:t xml:space="preserve">reference lines</w:t>
      </w:r>
      <w:r>
        <w:t xml:space="preserve"> </w:t>
      </w:r>
      <w:r>
        <w:t xml:space="preserve">(Chapter</w:t>
      </w:r>
      <w:r>
        <w:t xml:space="preserve"> </w:t>
      </w:r>
      <w:r>
        <w:t xml:space="preserve">2</w:t>
      </w:r>
      <w:r>
        <w:t xml:space="preserve">) - meaningful there because the oral terminal</w:t>
      </w:r>
      <w:r>
        <w:t xml:space="preserve"> </w:t>
      </w:r>
      <w:r>
        <w:t xml:space="preserve">half-life is elimination-driven for the vast majority of compounds. The LAI dose landscape omits</w:t>
      </w:r>
      <w:r>
        <w:t xml:space="preserve"> </w:t>
      </w:r>
      <w:r>
        <w:t xml:space="preserve">these lines, since the LAI terminal half-life is usually driven by the (fixed) absorption rate</w:t>
      </w:r>
      <w:r>
        <w:t xml:space="preserve"> </w:t>
      </w:r>
      <w:r>
        <w:t xml:space="preserve">instead and would not track the plotted</w:t>
      </w:r>
      <w:r>
        <w:t xml:space="preserve"> </w:t>
      </w:r>
      <m:oMath>
        <m:r>
          <m:t>V</m:t>
        </m:r>
        <m:r>
          <m:t>s</m:t>
        </m:r>
        <m:sSub>
          <m:e>
            <m:r>
              <m:t>s</m:t>
            </m:r>
          </m:e>
          <m:sub>
            <m:r>
              <m:t>u</m:t>
            </m:r>
          </m:sub>
        </m:sSub>
      </m:oMath>
      <w:r>
        <w:t xml:space="preserve">/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  <w:r>
        <w:t xml:space="preserve"> </w:t>
      </w:r>
      <w:r>
        <w:t xml:space="preserve">grid.</w:t>
      </w:r>
    </w:p>
    <w:bookmarkEnd w:id="108"/>
    <w:bookmarkEnd w:id="109"/>
    <w:bookmarkStart w:id="117" w:name="the-report"/>
    <w:p>
      <w:pPr>
        <w:pStyle w:val="Heading1"/>
      </w:pPr>
      <w:r>
        <w:rPr>
          <w:rStyle w:val="SectionNumber"/>
        </w:rPr>
        <w:t xml:space="preserve">4</w:t>
      </w:r>
      <w:r>
        <w:tab/>
      </w:r>
      <w:r>
        <w:t xml:space="preserve">The Report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Report</w:t>
      </w:r>
      <w:r>
        <w:t xml:space="preserve"> </w:t>
      </w:r>
      <w:r>
        <w:t xml:space="preserve">button on the Unbound Parameters &amp; Dose tab’s sidebar downloads a multi-sheet</w:t>
      </w:r>
      <w:r>
        <w:t xml:space="preserve"> </w:t>
      </w:r>
      <w:r>
        <w:t xml:space="preserve">Excel workbook (</w:t>
      </w:r>
      <w:r>
        <w:rPr>
          <w:rStyle w:val="VerbatimChar"/>
        </w:rPr>
        <w:t xml:space="preserve">.xlsx</w:t>
      </w:r>
      <w:r>
        <w:t xml:space="preserve">) documenting the uploaded inputs and every prediction shown in Chapters</w:t>
      </w:r>
      <w:r>
        <w:t xml:space="preserve"> </w:t>
      </w:r>
      <w:r>
        <w:t xml:space="preserve">2</w:t>
      </w:r>
      <w:r>
        <w:t xml:space="preserve"> </w:t>
      </w:r>
      <w:r>
        <w:t xml:space="preserve">and</w:t>
      </w:r>
      <w:r>
        <w:t xml:space="preserve"> </w:t>
      </w:r>
      <w:r>
        <w:t xml:space="preserve">3</w:t>
      </w:r>
      <w:r>
        <w:t xml:space="preserve">, for every compound currently</w:t>
      </w:r>
      <w:r>
        <w:t xml:space="preserve"> </w:t>
      </w:r>
      <w:r>
        <w:t xml:space="preserve">loaded. This chapter describes what each of its 7 sheets contains. A report downloaded this way</w:t>
      </w:r>
      <w:r>
        <w:t xml:space="preserve"> </w:t>
      </w:r>
      <w:r>
        <w:t xml:space="preserve">can itself be re-uploaded later on the File Input tab (Chapter</w:t>
      </w:r>
      <w:r>
        <w:t xml:space="preserve"> </w:t>
      </w:r>
      <w:r>
        <w:t xml:space="preserve">1</w:t>
      </w:r>
      <w:r>
        <w:t xml:space="preserve">), making it</w:t>
      </w:r>
      <w:r>
        <w:t xml:space="preserve"> </w:t>
      </w:r>
      <w:r>
        <w:t xml:space="preserve">easy to resume a session or combine results across uploads.</w:t>
      </w:r>
    </w:p>
    <w:p>
      <w:pPr>
        <w:pStyle w:val="BodyText"/>
      </w:pPr>
      <w:r>
        <w:t xml:space="preserve">Comparative User Inputs (below) is unchecked by default in the sidebar’s sheet selector - the</w:t>
      </w:r>
      <w:r>
        <w:t xml:space="preserve"> </w:t>
      </w:r>
      <w:r>
        <w:t xml:space="preserve">other 6 sheets are included by default.</w:t>
      </w:r>
    </w:p>
    <w:bookmarkStart w:id="110" w:name="unbound-parameters"/>
    <w:p>
      <w:pPr>
        <w:pStyle w:val="Heading2"/>
      </w:pPr>
      <w:r>
        <w:rPr>
          <w:rStyle w:val="SectionNumber"/>
        </w:rPr>
        <w:t xml:space="preserve">4.1</w:t>
      </w:r>
      <w:r>
        <w:tab/>
      </w:r>
      <w:r>
        <w:t xml:space="preserve">Unbound Parameters</w:t>
      </w:r>
    </w:p>
    <w:p>
      <w:pPr>
        <w:pStyle w:val="FirstParagraph"/>
      </w:pPr>
      <w:r>
        <w:t xml:space="preserve">One row per compound per Vss source (in silico / in vivo), exactly matching the on-screen</w:t>
      </w:r>
      <w:r>
        <w:t xml:space="preserve"> </w:t>
      </w:r>
      <w:r>
        <w:rPr>
          <w:bCs/>
          <w:b/>
        </w:rPr>
        <w:t xml:space="preserve">Unbound parameters</w:t>
      </w:r>
      <w:r>
        <w:t xml:space="preserve"> </w:t>
      </w:r>
      <w:r>
        <w:t xml:space="preserve">sub-tab: Compound, Vss source, Plasma Fu, TCGLS 3D7 IC50,u (nM), In vitro</w:t>
      </w:r>
      <w:r>
        <w:t xml:space="preserve"> </w:t>
      </w:r>
      <w:r>
        <w:t xml:space="preserve">48h PRR (log10), MIC,u (nM), Vss,u (L/kg), CLint,u (µL/min/mg microsome), Human CL,u (mL/min/kg),</w:t>
      </w:r>
      <w:r>
        <w:t xml:space="preserve"> </w:t>
      </w:r>
      <w:r>
        <w:t xml:space="preserve">VLE (-log10 moles), and Zero CL dose (mg) - see Chapter</w:t>
      </w:r>
      <w:r>
        <w:t xml:space="preserve"> </w:t>
      </w:r>
      <w:r>
        <w:t xml:space="preserve">2</w:t>
      </w:r>
      <w:r>
        <w:t xml:space="preserve"> </w:t>
      </w:r>
      <w:r>
        <w:t xml:space="preserve">for</w:t>
      </w:r>
      <w:r>
        <w:t xml:space="preserve"> </w:t>
      </w:r>
      <w:r>
        <w:t xml:space="preserve">how each of these is derived. A compound whose Zero CL dose is at or beyond the 1000 mg display</w:t>
      </w:r>
      <w:r>
        <w:t xml:space="preserve"> </w:t>
      </w:r>
      <w:r>
        <w:t xml:space="preserve">cap is written as</w:t>
      </w:r>
      <w:r>
        <w:t xml:space="preserve"> </w:t>
      </w:r>
      <w:r>
        <w:t xml:space="preserve">“</w:t>
      </w:r>
      <w:r>
        <w:t xml:space="preserve">≥ 1000 mg</w:t>
      </w:r>
      <w:r>
        <w:t xml:space="preserve">”</w:t>
      </w:r>
      <w:r>
        <w:t xml:space="preserve"> </w:t>
      </w:r>
      <w:r>
        <w:t xml:space="preserve">text, matching the on-screen table, instead of the raw numeric</w:t>
      </w:r>
      <w:r>
        <w:t xml:space="preserve"> </w:t>
      </w:r>
      <w:r>
        <w:t xml:space="preserve">placeholder value.</w:t>
      </w:r>
    </w:p>
    <w:bookmarkEnd w:id="110"/>
    <w:bookmarkStart w:id="111" w:name="oral-dose"/>
    <w:p>
      <w:pPr>
        <w:pStyle w:val="Heading2"/>
      </w:pPr>
      <w:r>
        <w:rPr>
          <w:rStyle w:val="SectionNumber"/>
        </w:rPr>
        <w:t xml:space="preserve">4.2</w:t>
      </w:r>
      <w:r>
        <w:tab/>
      </w:r>
      <w:r>
        <w:t xml:space="preserve">Oral Dose</w:t>
      </w:r>
    </w:p>
    <w:p>
      <w:pPr>
        <w:pStyle w:val="FirstParagraph"/>
      </w:pPr>
      <w:r>
        <w:t xml:space="preserve">One row per compound per Vss source, mirroring the on-screen</w:t>
      </w:r>
      <w:r>
        <w:t xml:space="preserve"> </w:t>
      </w:r>
      <w:r>
        <w:rPr>
          <w:bCs/>
          <w:b/>
        </w:rPr>
        <w:t xml:space="preserve">Oral dose</w:t>
      </w:r>
      <w:r>
        <w:t xml:space="preserve"> </w:t>
      </w:r>
      <w:r>
        <w:t xml:space="preserve">sub-tab: Compound</w:t>
      </w:r>
      <w:r>
        <w:t xml:space="preserve"> </w:t>
      </w:r>
      <w:r>
        <w:t xml:space="preserve">(plain text here - the on-screen MMVSola link icon has no meaning in Excel), Vss source, Oral</w:t>
      </w:r>
      <w:r>
        <w:t xml:space="preserve"> </w:t>
      </w:r>
      <w:r>
        <w:t xml:space="preserve">bioavailability (Fabs1), Absorption rate (1/hour), Absorption half-life (days), Elimination rate</w:t>
      </w:r>
      <w:r>
        <w:t xml:space="preserve"> </w:t>
      </w:r>
      <w:r>
        <w:t xml:space="preserve">(1/hour), Elimination half-life (days), Terminal half-life (days), and</w:t>
      </w:r>
      <w:r>
        <w:t xml:space="preserve"> </w:t>
      </w:r>
      <w:r>
        <w:t xml:space="preserve">“</w:t>
      </w:r>
      <w:r>
        <w:t xml:space="preserve">Oral dose for</w:t>
      </w:r>
      <w:r>
        <w:t xml:space="preserve"> </w:t>
      </w:r>
      <w:r>
        <w:rPr>
          <w:iCs/>
          <w:i/>
        </w:rPr>
        <w:t xml:space="preserve">N</w:t>
      </w:r>
      <w:r>
        <w:t xml:space="preserve"> </w:t>
      </w:r>
      <w:r>
        <w:t xml:space="preserve">days</w:t>
      </w:r>
      <w:r>
        <w:t xml:space="preserve"> </w:t>
      </w:r>
      <w:r>
        <w:t xml:space="preserve">&gt; MIC,u (mg)</w:t>
      </w:r>
      <w:r>
        <w:t xml:space="preserve">”</w:t>
      </w:r>
      <w:r>
        <w:t xml:space="preserve"> </w:t>
      </w:r>
      <w:r>
        <w:t xml:space="preserve">-</w:t>
      </w:r>
      <w:r>
        <w:t xml:space="preserve"> </w:t>
      </w:r>
      <w:r>
        <w:rPr>
          <w:iCs/>
          <w:i/>
        </w:rPr>
        <w:t xml:space="preserve">N</w:t>
      </w:r>
      <w:r>
        <w:t xml:space="preserve"> </w:t>
      </w:r>
      <w:r>
        <w:t xml:space="preserve">being whatever</w:t>
      </w:r>
      <w:r>
        <w:t xml:space="preserve"> </w:t>
      </w:r>
      <w:r>
        <w:rPr>
          <w:bCs/>
          <w:b/>
        </w:rPr>
        <w:t xml:space="preserve">MICu time (days)</w:t>
      </w:r>
      <w:r>
        <w:t xml:space="preserve"> </w:t>
      </w:r>
      <w:r>
        <w:t xml:space="preserve">was set to when the report was</w:t>
      </w:r>
      <w:r>
        <w:t xml:space="preserve"> </w:t>
      </w:r>
      <w:r>
        <w:t xml:space="preserve">generated. Doses at or beyond the 500 mg display cap are written as</w:t>
      </w:r>
      <w:r>
        <w:t xml:space="preserve"> </w:t>
      </w:r>
      <w:r>
        <w:t xml:space="preserve">“</w:t>
      </w:r>
      <w:r>
        <w:t xml:space="preserve">≥ 500 mg</w:t>
      </w:r>
      <w:r>
        <w:t xml:space="preserve">”</w:t>
      </w:r>
      <w:r>
        <w:t xml:space="preserve"> </w:t>
      </w:r>
      <w:r>
        <w:t xml:space="preserve">text, matching</w:t>
      </w:r>
      <w:r>
        <w:t xml:space="preserve"> </w:t>
      </w:r>
      <w:r>
        <w:t xml:space="preserve">the app.</w:t>
      </w:r>
    </w:p>
    <w:p>
      <w:pPr>
        <w:pStyle w:val="BodyText"/>
      </w:pPr>
      <w:r>
        <w:t xml:space="preserve">Below the table, the sheet embeds the same oral dose-landscape figure shown on screen, including</w:t>
      </w:r>
      <w:r>
        <w:t xml:space="preserve"> </w:t>
      </w:r>
      <w:r>
        <w:t xml:space="preserve">its</w:t>
      </w:r>
      <w:r>
        <w:t xml:space="preserve"> </w:t>
      </w:r>
      <w:r>
        <w:t xml:space="preserve">“</w:t>
      </w:r>
      <w:r>
        <w:t xml:space="preserve">Not shown</w:t>
      </w:r>
      <w:r>
        <w:t xml:space="preserve">”</w:t>
      </w:r>
      <w:r>
        <w:t xml:space="preserve"> </w:t>
      </w:r>
      <w:r>
        <w:t xml:space="preserve">clause (listing any compound missing from the plot) and colour-scale legend as a</w:t>
      </w:r>
      <w:r>
        <w:t xml:space="preserve"> </w:t>
      </w:r>
      <w:r>
        <w:t xml:space="preserve">footnote baked directly into the image.</w:t>
      </w:r>
    </w:p>
    <w:bookmarkEnd w:id="111"/>
    <w:bookmarkStart w:id="112" w:name="lai-dose"/>
    <w:p>
      <w:pPr>
        <w:pStyle w:val="Heading2"/>
      </w:pPr>
      <w:r>
        <w:rPr>
          <w:rStyle w:val="SectionNumber"/>
        </w:rPr>
        <w:t xml:space="preserve">4.3</w:t>
      </w:r>
      <w:r>
        <w:tab/>
      </w:r>
      <w:r>
        <w:t xml:space="preserve">LAI Dose</w:t>
      </w:r>
    </w:p>
    <w:p>
      <w:pPr>
        <w:pStyle w:val="FirstParagraph"/>
      </w:pPr>
      <w:r>
        <w:t xml:space="preserve">The long-acting-injectable equivalent of the Oral Dose sheet, one row per compound per Vss</w:t>
      </w:r>
      <w:r>
        <w:t xml:space="preserve"> </w:t>
      </w:r>
      <w:r>
        <w:t xml:space="preserve">source: Compound, Vss source, LAI bioavailability (Fabs1), Absorption rate (1/hour), Absorption</w:t>
      </w:r>
      <w:r>
        <w:t xml:space="preserve"> </w:t>
      </w:r>
      <w:r>
        <w:t xml:space="preserve">half-life (days), Elimination rate (1/hour), Elimination half-life (days), Terminal half-life</w:t>
      </w:r>
      <w:r>
        <w:t xml:space="preserve"> </w:t>
      </w:r>
      <w:r>
        <w:t xml:space="preserve">(days), and</w:t>
      </w:r>
      <w:r>
        <w:t xml:space="preserve"> </w:t>
      </w:r>
      <w:r>
        <w:t xml:space="preserve">“</w:t>
      </w:r>
      <w:r>
        <w:t xml:space="preserve">LAI dose for</w:t>
      </w:r>
      <w:r>
        <w:t xml:space="preserve"> </w:t>
      </w:r>
      <w:r>
        <w:rPr>
          <w:iCs/>
          <w:i/>
        </w:rPr>
        <w:t xml:space="preserve">N</w:t>
      </w:r>
      <w:r>
        <w:t xml:space="preserve"> </w:t>
      </w:r>
      <w:r>
        <w:t xml:space="preserve">days &gt; MIC,u (mg)</w:t>
      </w:r>
      <w:r>
        <w:t xml:space="preserve">”</w:t>
      </w:r>
      <w:r>
        <w:t xml:space="preserve"> </w:t>
      </w:r>
      <w:r>
        <w:t xml:space="preserve">(</w:t>
      </w:r>
      <w:r>
        <w:rPr>
          <w:iCs/>
          <w:i/>
        </w:rPr>
        <w:t xml:space="preserve">N</w:t>
      </w:r>
      <w:r>
        <w:t xml:space="preserve"> </w:t>
      </w:r>
      <w:r>
        <w:t xml:space="preserve">= the sidebar’s</w:t>
      </w:r>
      <w:r>
        <w:t xml:space="preserve"> </w:t>
      </w:r>
      <w:r>
        <w:rPr>
          <w:bCs/>
          <w:b/>
        </w:rPr>
        <w:t xml:space="preserve">MICu time</w:t>
      </w:r>
      <w:r>
        <w:t xml:space="preserve"> </w:t>
      </w:r>
      <w:r>
        <w:t xml:space="preserve">selection,</w:t>
      </w:r>
      <w:r>
        <w:t xml:space="preserve"> </w:t>
      </w:r>
      <w:r>
        <w:t xml:space="preserve">90 or 180 days), with the same ≥1000 mg display-cap convention as the other dose sheet. The LAI</w:t>
      </w:r>
      <w:r>
        <w:t xml:space="preserve"> </w:t>
      </w:r>
      <w:r>
        <w:t xml:space="preserve">dose-landscape figure and its footnote are embedded below the table in the same way as the Oral</w:t>
      </w:r>
      <w:r>
        <w:t xml:space="preserve"> </w:t>
      </w:r>
      <w:r>
        <w:t xml:space="preserve">Dose sheet.</w:t>
      </w:r>
    </w:p>
    <w:bookmarkEnd w:id="112"/>
    <w:bookmarkStart w:id="113" w:name="science-cloud-file"/>
    <w:p>
      <w:pPr>
        <w:pStyle w:val="Heading2"/>
      </w:pPr>
      <w:r>
        <w:rPr>
          <w:rStyle w:val="SectionNumber"/>
        </w:rPr>
        <w:t xml:space="preserve">4.4</w:t>
      </w:r>
      <w:r>
        <w:tab/>
      </w:r>
      <w:r>
        <w:t xml:space="preserve">Science Cloud File</w:t>
      </w:r>
    </w:p>
    <w:p>
      <w:pPr>
        <w:pStyle w:val="FirstParagraph"/>
      </w:pPr>
      <w:r>
        <w:t xml:space="preserve">The raw, uncurated Science Cloud records behind every compound’s averaged input parameters -</w:t>
      </w:r>
      <w:r>
        <w:t xml:space="preserve"> </w:t>
      </w:r>
      <w:r>
        <w:t xml:space="preserve">every row uploaded for every compound, stacked one compound after another. A record excluded from</w:t>
      </w:r>
      <w:r>
        <w:t xml:space="preserve"> </w:t>
      </w:r>
      <w:r>
        <w:t xml:space="preserve">averaging via the File Input tab’s checkboxes (Chapter</w:t>
      </w:r>
      <w:r>
        <w:t xml:space="preserve"> </w:t>
      </w:r>
      <w:r>
        <w:t xml:space="preserve">1</w:t>
      </w:r>
      <w:r>
        <w:t xml:space="preserve">) is still listed here,</w:t>
      </w:r>
      <w:r>
        <w:t xml:space="preserve"> </w:t>
      </w:r>
      <w:r>
        <w:t xml:space="preserve">but its row is shaded to flag that it was excluded. If a compound had no Science Cloud data</w:t>
      </w:r>
      <w:r>
        <w:t xml:space="preserve"> </w:t>
      </w:r>
      <w:r>
        <w:t xml:space="preserve">uploaded for it (e.g. its parameters were entered entirely manually), it contributes no rows to</w:t>
      </w:r>
      <w:r>
        <w:t xml:space="preserve"> </w:t>
      </w:r>
      <w:r>
        <w:t xml:space="preserve">this sheet.</w:t>
      </w:r>
    </w:p>
    <w:bookmarkEnd w:id="113"/>
    <w:bookmarkStart w:id="114" w:name="user-inputs"/>
    <w:p>
      <w:pPr>
        <w:pStyle w:val="Heading2"/>
      </w:pPr>
      <w:r>
        <w:rPr>
          <w:rStyle w:val="SectionNumber"/>
        </w:rPr>
        <w:t xml:space="preserve">4.5</w:t>
      </w:r>
      <w:r>
        <w:tab/>
      </w:r>
      <w:r>
        <w:t xml:space="preserve">User Inputs</w:t>
      </w:r>
    </w:p>
    <w:p>
      <w:pPr>
        <w:pStyle w:val="FirstParagraph"/>
      </w:pPr>
      <w:r>
        <w:t xml:space="preserve">One block per compound, each grouped into the same input categories shown in the app (e.g.</w:t>
      </w:r>
      <w:r>
        <w:t xml:space="preserve"> </w:t>
      </w:r>
      <w:r>
        <w:t xml:space="preserve">Molecular Properties, Plasma Binding, Clearance) with one row per parameter: its inputted value,</w:t>
      </w:r>
      <w:r>
        <w:t xml:space="preserve"> </w:t>
      </w:r>
      <w:r>
        <w:t xml:space="preserve">its validated value (after any range/consistency checks), unit, source (Science Cloud / user</w:t>
      </w:r>
      <w:r>
        <w:t xml:space="preserve"> </w:t>
      </w:r>
      <w:r>
        <w:t xml:space="preserve">input / a previously uploaded report / a built-in default), and any validation note. This is the</w:t>
      </w:r>
      <w:r>
        <w:t xml:space="preserve"> </w:t>
      </w:r>
      <w:r>
        <w:t xml:space="preserve">most granular sheet in the report - it is what a re-uploaded MMVFree report reads back to restore</w:t>
      </w:r>
      <w:r>
        <w:t xml:space="preserve"> </w:t>
      </w:r>
      <w:r>
        <w:t xml:space="preserve">a session.</w:t>
      </w:r>
    </w:p>
    <w:bookmarkEnd w:id="114"/>
    <w:bookmarkStart w:id="115" w:name="comparative-user-inputs"/>
    <w:p>
      <w:pPr>
        <w:pStyle w:val="Heading2"/>
      </w:pPr>
      <w:r>
        <w:rPr>
          <w:rStyle w:val="SectionNumber"/>
        </w:rPr>
        <w:t xml:space="preserve">4.6</w:t>
      </w:r>
      <w:r>
        <w:tab/>
      </w:r>
      <w:r>
        <w:t xml:space="preserve">Comparative User Inputs</w:t>
      </w:r>
    </w:p>
    <w:p>
      <w:pPr>
        <w:pStyle w:val="FirstParagraph"/>
      </w:pPr>
      <w:r>
        <w:t xml:space="preserve">Unchecked by default. The same parameters as the User Inputs sheet, but reshaped so compounds run</w:t>
      </w:r>
      <w:r>
        <w:t xml:space="preserve"> </w:t>
      </w:r>
      <w:r>
        <w:t xml:space="preserve">across columns instead of down separate blocks - one merged header row per compound, with</w:t>
      </w:r>
      <w:r>
        <w:t xml:space="preserve"> </w:t>
      </w:r>
      <w:r>
        <w:t xml:space="preserve">Inputted/Validated/Source sub-columns beneath it - so that values for the same parameter across</w:t>
      </w:r>
      <w:r>
        <w:t xml:space="preserve"> </w:t>
      </w:r>
      <w:r>
        <w:t xml:space="preserve">every loaded compound can be scanned side by side in a single row. Intended for comparing several</w:t>
      </w:r>
      <w:r>
        <w:t xml:space="preserve"> </w:t>
      </w:r>
      <w:r>
        <w:t xml:space="preserve">candidate compounds at a glance rather than reviewing one compound’s full input record in detail</w:t>
      </w:r>
      <w:r>
        <w:t xml:space="preserve"> </w:t>
      </w:r>
      <w:r>
        <w:t xml:space="preserve">(that’s what the User Inputs sheet above is for).</w:t>
      </w:r>
    </w:p>
    <w:bookmarkEnd w:id="115"/>
    <w:bookmarkStart w:id="116" w:name="additional-information"/>
    <w:p>
      <w:pPr>
        <w:pStyle w:val="Heading2"/>
      </w:pPr>
      <w:r>
        <w:rPr>
          <w:rStyle w:val="SectionNumber"/>
        </w:rPr>
        <w:t xml:space="preserve">4.7</w:t>
      </w:r>
      <w:r>
        <w:tab/>
      </w:r>
      <w:r>
        <w:t xml:space="preserve">Additional Information</w:t>
      </w:r>
    </w:p>
    <w:p>
      <w:pPr>
        <w:pStyle w:val="FirstParagraph"/>
      </w:pPr>
      <w:r>
        <w:t xml:space="preserve">Two blocks, not tied to any particular compound:</w:t>
      </w:r>
      <w:r>
        <w:t xml:space="preserve"> </w:t>
      </w:r>
      <w:r>
        <w:rPr>
          <w:bCs/>
          <w:b/>
        </w:rPr>
        <w:t xml:space="preserve">Constants</w:t>
      </w:r>
      <w:r>
        <w:t xml:space="preserve"> </w:t>
      </w:r>
      <w:r>
        <w:t xml:space="preserve">- the fixed values used throughout</w:t>
      </w:r>
      <w:r>
        <w:t xml:space="preserve"> </w:t>
      </w:r>
      <w:r>
        <w:t xml:space="preserve">the app’s calculations (e.g. reference body weight, MPPGL, liver weight, hepatic blood flow -</w:t>
      </w:r>
      <w:r>
        <w:t xml:space="preserve"> </w:t>
      </w:r>
      <w:r>
        <w:t xml:space="preserve">see the Symbol Glossary in Chapter</w:t>
      </w:r>
      <w:r>
        <w:t xml:space="preserve"> </w:t>
      </w:r>
      <w:r>
        <w:t xml:space="preserve">2</w:t>
      </w:r>
      <w:r>
        <w:t xml:space="preserve">) - and</w:t>
      </w:r>
      <w:r>
        <w:t xml:space="preserve"> </w:t>
      </w:r>
      <w:r>
        <w:rPr>
          <w:bCs/>
          <w:b/>
        </w:rPr>
        <w:t xml:space="preserve">Software</w:t>
      </w:r>
      <w:r>
        <w:rPr>
          <w:bCs/>
          <w:b/>
        </w:rPr>
        <w:t xml:space="preserve"> </w:t>
      </w:r>
      <w:r>
        <w:rPr>
          <w:bCs/>
          <w:b/>
        </w:rPr>
        <w:t xml:space="preserve">versions</w:t>
      </w:r>
      <w:r>
        <w:t xml:space="preserve">, recording the exact MMVFree version and the versions of the underlying MMVshiny,</w:t>
      </w:r>
      <w:r>
        <w:t xml:space="preserve"> </w:t>
      </w:r>
      <w:r>
        <w:t xml:space="preserve">MMVbase, MMVhuPKpred, and MMVhuPDpred packages used to generate this report, plus the report’s own</w:t>
      </w:r>
      <w:r>
        <w:t xml:space="preserve"> </w:t>
      </w:r>
      <w:r>
        <w:t xml:space="preserve">User Inputs sheet format version (tracked separately from the app version, since other MMV apps</w:t>
      </w:r>
      <w:r>
        <w:t xml:space="preserve"> </w:t>
      </w:r>
      <w:r>
        <w:t xml:space="preserve">such as MMVSola can import an MMVFree report).</w:t>
      </w:r>
    </w:p>
    <w:bookmarkEnd w:id="116"/>
    <w:bookmarkEnd w:id="117"/>
    <w:bookmarkStart w:id="125" w:name="references"/>
    <w:p>
      <w:pPr>
        <w:pStyle w:val="Heading1"/>
      </w:pPr>
      <w:r>
        <w:t xml:space="preserve">References</w:t>
      </w:r>
    </w:p>
    <w:bookmarkStart w:id="124" w:name="refs"/>
    <w:bookmarkStart w:id="118" w:name="ref-gabrielsson2016pharmacokinetic"/>
    <w:p>
      <w:pPr>
        <w:pStyle w:val="Bibliography"/>
      </w:pPr>
      <w:r>
        <w:t xml:space="preserve">Gabrielsson, Johan, and Dan Weiner. 2016.</w:t>
      </w:r>
      <w:r>
        <w:t xml:space="preserve"> </w:t>
      </w:r>
      <w:r>
        <w:rPr>
          <w:iCs/>
          <w:i/>
        </w:rPr>
        <w:t xml:space="preserve">Pharmacokinetic and Pharmacodynamic Data Analysis: Concepts and Applications</w:t>
      </w:r>
      <w:r>
        <w:t xml:space="preserve">. 5th ed. Swedish Pharmaceutical Press.</w:t>
      </w:r>
    </w:p>
    <w:bookmarkEnd w:id="118"/>
    <w:bookmarkStart w:id="119" w:name="ref-gibaldi1982pharmacokinetics"/>
    <w:p>
      <w:pPr>
        <w:pStyle w:val="Bibliography"/>
      </w:pPr>
      <w:r>
        <w:t xml:space="preserve">Gibaldi, Milo, and Donald Perrier. 1982.</w:t>
      </w:r>
      <w:r>
        <w:t xml:space="preserve"> </w:t>
      </w:r>
      <w:r>
        <w:rPr>
          <w:iCs/>
          <w:i/>
        </w:rPr>
        <w:t xml:space="preserve">Pharmacokinetics</w:t>
      </w:r>
      <w:r>
        <w:t xml:space="preserve">. 2nd ed. New York: Marcel Dekker.</w:t>
      </w:r>
    </w:p>
    <w:bookmarkEnd w:id="119"/>
    <w:bookmarkStart w:id="120" w:name="ref-houston1994utility"/>
    <w:p>
      <w:pPr>
        <w:pStyle w:val="Bibliography"/>
      </w:pPr>
      <w:r>
        <w:t xml:space="preserve">Houston, J Brian. 1994.</w:t>
      </w:r>
      <w:r>
        <w:t xml:space="preserve"> </w:t>
      </w:r>
      <w:r>
        <w:t xml:space="preserve">“Utility of in Vitro Drug Metabolism Data in Predicting in Vivo Metabolic Clearance.”</w:t>
      </w:r>
      <w:r>
        <w:t xml:space="preserve"> </w:t>
      </w:r>
      <w:r>
        <w:rPr>
          <w:iCs/>
          <w:i/>
        </w:rPr>
        <w:t xml:space="preserve">Biochemical Pharmacology</w:t>
      </w:r>
      <w:r>
        <w:t xml:space="preserve"> </w:t>
      </w:r>
      <w:r>
        <w:t xml:space="preserve">47 (9): 1469–79.</w:t>
      </w:r>
    </w:p>
    <w:bookmarkEnd w:id="120"/>
    <w:bookmarkStart w:id="121" w:name="ref-obach1999prediction"/>
    <w:p>
      <w:pPr>
        <w:pStyle w:val="Bibliography"/>
      </w:pPr>
      <w:r>
        <w:t xml:space="preserve">Obach, R Scott. 1999.</w:t>
      </w:r>
      <w:r>
        <w:t xml:space="preserve"> </w:t>
      </w:r>
      <w:r>
        <w:t xml:space="preserve">“Prediction of Human Clearance of Twenty-Nine Drugs from Hepatic Microsomal Intrinsic Clearance Data: An Examination of in Vitro Half-Life Approach and Nonspecific Binding to Microsomes.”</w:t>
      </w:r>
      <w:r>
        <w:t xml:space="preserve"> </w:t>
      </w:r>
      <w:r>
        <w:rPr>
          <w:iCs/>
          <w:i/>
        </w:rPr>
        <w:t xml:space="preserve">Drug Metabolism and Disposition</w:t>
      </w:r>
      <w:r>
        <w:t xml:space="preserve"> </w:t>
      </w:r>
      <w:r>
        <w:t xml:space="preserve">27 (11): 1350–59.</w:t>
      </w:r>
    </w:p>
    <w:bookmarkEnd w:id="121"/>
    <w:bookmarkStart w:id="122" w:name="ref-rowland1973clearance"/>
    <w:p>
      <w:pPr>
        <w:pStyle w:val="Bibliography"/>
      </w:pPr>
      <w:r>
        <w:t xml:space="preserve">Rowland, Malcolm, Leslie Z Benet, and Graham G Graham. 1973.</w:t>
      </w:r>
      <w:r>
        <w:t xml:space="preserve"> </w:t>
      </w:r>
      <w:r>
        <w:t xml:space="preserve">“Clearance Concepts in Pharmacokinetics.”</w:t>
      </w:r>
      <w:r>
        <w:t xml:space="preserve"> </w:t>
      </w:r>
      <w:r>
        <w:rPr>
          <w:iCs/>
          <w:i/>
        </w:rPr>
        <w:t xml:space="preserve">Journal of Pharmacokinetics and Biopharmaceutics</w:t>
      </w:r>
      <w:r>
        <w:t xml:space="preserve"> </w:t>
      </w:r>
      <w:r>
        <w:t xml:space="preserve">1 (2): 123–36.</w:t>
      </w:r>
    </w:p>
    <w:bookmarkEnd w:id="122"/>
    <w:bookmarkStart w:id="123" w:name="ref-rowland2022clinical"/>
    <w:p>
      <w:pPr>
        <w:pStyle w:val="Bibliography"/>
      </w:pPr>
      <w:r>
        <w:t xml:space="preserve">Rowland, Malcolm, and Thomas N Tozer. 2022.</w:t>
      </w:r>
      <w:r>
        <w:t xml:space="preserve"> </w:t>
      </w:r>
      <w:r>
        <w:rPr>
          <w:iCs/>
          <w:i/>
        </w:rPr>
        <w:t xml:space="preserve">Clinical Pharmacokinetics and Pharmacodynamics: Concepts and Applications</w:t>
      </w:r>
      <w:r>
        <w:t xml:space="preserve">. 5th ed. Lippincott Williams &amp; Wilkins.</w:t>
      </w:r>
    </w:p>
    <w:bookmarkEnd w:id="123"/>
    <w:bookmarkEnd w:id="124"/>
    <w:bookmarkEnd w:id="1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color w:val="204a87"/>
      <w:shd w:val="clear" w:fill="f8f8f8"/>
      <w:b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color w:val="ce5c00"/>
      <w:shd w:val="clear" w:fill="f8f8f8"/>
      <w:b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color w:val="8f5902"/>
      <w:shd w:val="clear" w:fill="f8f8f8"/>
      <w:i/>
    </w:rPr>
  </w:style>
  <w:style w:type="character" w:customStyle="1" w:styleId="DocumentationTok">
    <w:name w:val="DocumentationTok"/>
    <w:basedOn w:val="VerbatimChar"/>
    <w:rPr>
      <w:color w:val="8f5902"/>
      <w:shd w:val="clear" w:fill="f8f8f8"/>
      <w:b/>
      <w:i/>
    </w:rPr>
  </w:style>
  <w:style w:type="character" w:customStyle="1" w:styleId="AnnotationTok">
    <w:name w:val="AnnotationTok"/>
    <w:basedOn w:val="VerbatimChar"/>
    <w:rPr>
      <w:color w:val="8f5902"/>
      <w:shd w:val="clear" w:fill="f8f8f8"/>
      <w:b/>
      <w:i/>
    </w:rPr>
  </w:style>
  <w:style w:type="character" w:customStyle="1" w:styleId="CommentVarTok">
    <w:name w:val="CommentVarTok"/>
    <w:basedOn w:val="VerbatimChar"/>
    <w:rPr>
      <w:color w:val="8f5902"/>
      <w:shd w:val="clear" w:fill="f8f8f8"/>
      <w:b/>
      <w:i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color w:val="204a87"/>
      <w:shd w:val="clear" w:fill="f8f8f8"/>
      <w:b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color w:val="204a87"/>
      <w:shd w:val="clear" w:fill="f8f8f8"/>
      <w:b/>
    </w:rPr>
  </w:style>
  <w:style w:type="character" w:customStyle="1" w:styleId="OperatorTok">
    <w:name w:val="OperatorTok"/>
    <w:basedOn w:val="VerbatimChar"/>
    <w:rPr>
      <w:color w:val="ce5c00"/>
      <w:shd w:val="clear" w:fill="f8f8f8"/>
      <w:b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color w:val="8f5902"/>
      <w:shd w:val="clear" w:fill="f8f8f8"/>
      <w:i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color w:val="8f5902"/>
      <w:shd w:val="clear" w:fill="f8f8f8"/>
      <w:b/>
      <w:i/>
    </w:rPr>
  </w:style>
  <w:style w:type="character" w:customStyle="1" w:styleId="WarningTok">
    <w:name w:val="WarningTok"/>
    <w:basedOn w:val="VerbatimChar"/>
    <w:rPr>
      <w:color w:val="8f5902"/>
      <w:shd w:val="clear" w:fill="f8f8f8"/>
      <w:b/>
      <w:i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color w:val="a40000"/>
      <w:shd w:val="clear" w:fill="f8f8f8"/>
      <w:b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57" Target="media/rId57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60" Target="media/rId60.png" /><Relationship Type="http://schemas.openxmlformats.org/officeDocument/2006/relationships/image" Id="rId75" Target="media/rId75.png" /><Relationship Type="http://schemas.openxmlformats.org/officeDocument/2006/relationships/image" Id="rId29" Target="media/rId29.png" /><Relationship Type="http://schemas.openxmlformats.org/officeDocument/2006/relationships/image" Id="rId33" Target="media/rId33.png" /><Relationship Type="http://schemas.openxmlformats.org/officeDocument/2006/relationships/image" Id="rId81" Target="media/rId81.png" /><Relationship Type="http://schemas.openxmlformats.org/officeDocument/2006/relationships/image" Id="rId99" Target="media/rId99.png" /><Relationship Type="http://schemas.openxmlformats.org/officeDocument/2006/relationships/image" Id="rId102" Target="media/rId102.png" /><Relationship Type="http://schemas.openxmlformats.org/officeDocument/2006/relationships/hyperlink" Id="rId66" Target="https://laiparameter.mmv.org" TargetMode="External" /><Relationship Type="http://schemas.openxmlformats.org/officeDocument/2006/relationships/hyperlink" Id="rId20" Target="https://mmvfree.org" TargetMode="External" /><Relationship Type="http://schemas.openxmlformats.org/officeDocument/2006/relationships/hyperlink" Id="rId65" Target="https://mmvsola.o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6" Target="https://laiparameter.mmv.org" TargetMode="External" /><Relationship Type="http://schemas.openxmlformats.org/officeDocument/2006/relationships/hyperlink" Id="rId20" Target="https://mmvfree.org" TargetMode="External" /><Relationship Type="http://schemas.openxmlformats.org/officeDocument/2006/relationships/hyperlink" Id="rId65" Target="https://mmvsola.o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MMVFree - User Guide</dc:title>
  <dc:creator>Venelin Mitov, Philip Lowe, Peter Webborn, Sam Jones, Nathalie Gobeau, Jeremy Burrows, Steven Brand</dc:creator>
  <cp:keywords/>
  <dcterms:created xsi:type="dcterms:W3CDTF">2026-11-04T17:59:08Z</dcterms:created>
  <dcterms:modified xsi:type="dcterms:W3CDTF">2026-11-04T17:59:08Z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graphy">
    <vt:lpwstr>references.bib</vt:lpwstr>
  </property>
  <property fmtid="{D5CDD505-2E9C-101B-9397-08002B2CF9AE}" pid="3" name="bookdown">
    <vt:lpwstr/>
  </property>
  <property fmtid="{D5CDD505-2E9C-101B-9397-08002B2CF9AE}" pid="4" name="date">
    <vt:lpwstr>Version 1.12.7, November 2026</vt:lpwstr>
  </property>
  <property fmtid="{D5CDD505-2E9C-101B-9397-08002B2CF9AE}" pid="5" name="site">
    <vt:lpwstr>bookdown::bookdown_site</vt:lpwstr>
  </property>
</Properties>
</file>